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color w:val="auto"/>
          <w:sz w:val="52"/>
          <w:szCs w:val="52"/>
          <w:highlight w:val="none"/>
        </w:rPr>
      </w:pPr>
    </w:p>
    <w:p>
      <w:pPr>
        <w:spacing w:line="360" w:lineRule="auto"/>
        <w:jc w:val="center"/>
        <w:rPr>
          <w:rFonts w:ascii="宋体" w:hAnsi="宋体" w:cs="宋体"/>
          <w:color w:val="auto"/>
          <w:sz w:val="72"/>
          <w:szCs w:val="84"/>
          <w:highlight w:val="none"/>
        </w:rPr>
      </w:pPr>
      <w:r>
        <w:rPr>
          <w:rFonts w:hint="eastAsia" w:ascii="宋体" w:hAnsi="宋体" w:cs="宋体"/>
          <w:color w:val="auto"/>
          <w:sz w:val="72"/>
          <w:szCs w:val="84"/>
          <w:highlight w:val="none"/>
        </w:rPr>
        <w:t>广西国建项目管理有限公司</w:t>
      </w:r>
    </w:p>
    <w:p>
      <w:pPr>
        <w:spacing w:before="156" w:beforeLines="50" w:line="240" w:lineRule="exact"/>
        <w:jc w:val="center"/>
        <w:rPr>
          <w:rFonts w:ascii="宋体" w:hAnsi="宋体" w:cs="宋体"/>
          <w:color w:val="auto"/>
          <w:sz w:val="48"/>
          <w:szCs w:val="48"/>
          <w:highlight w:val="none"/>
        </w:rPr>
      </w:pPr>
    </w:p>
    <w:p>
      <w:pPr>
        <w:spacing w:before="156" w:beforeLines="50"/>
        <w:jc w:val="center"/>
        <w:rPr>
          <w:rFonts w:ascii="宋体" w:hAnsi="宋体" w:cs="宋体"/>
          <w:color w:val="auto"/>
          <w:sz w:val="72"/>
          <w:szCs w:val="72"/>
          <w:highlight w:val="none"/>
        </w:rPr>
      </w:pPr>
      <w:r>
        <w:rPr>
          <w:rFonts w:hint="eastAsia" w:ascii="宋体" w:hAnsi="宋体" w:cs="宋体"/>
          <w:color w:val="auto"/>
          <w:sz w:val="72"/>
          <w:szCs w:val="72"/>
          <w:highlight w:val="none"/>
        </w:rPr>
        <w:t>竞争性磋商文件</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jc w:val="center"/>
        <w:rPr>
          <w:rFonts w:ascii="宋体" w:hAnsi="宋体" w:cs="宋体"/>
          <w:color w:val="auto"/>
          <w:highlight w:val="none"/>
        </w:rPr>
      </w:pPr>
      <w:r>
        <w:rPr>
          <w:rFonts w:hint="eastAsia" w:ascii="宋体" w:hAnsi="宋体" w:cs="宋体"/>
          <w:color w:val="auto"/>
          <w:highlight w:val="none"/>
        </w:rPr>
        <w:fldChar w:fldCharType="begin"/>
      </w:r>
      <w:r>
        <w:rPr>
          <w:color w:val="auto"/>
          <w:highlight w:val="none"/>
        </w:rPr>
        <w:instrText xml:space="preserve"> INCLUDEPICTURE "../.config/weixin/wechat/users/duhuyaoxiaoye/message/cache/64491d7b8b16711fdb4fb4a4eb00da75/opendata/.config/weixin/wechat/users/duhuyaoxiaoye/message/cache/64491d7b8b16711fdb4fb4a4eb00da75/opendata/2024-04/" \* MERGEFORMAT </w:instrText>
      </w:r>
      <w:r>
        <w:rPr>
          <w:rFonts w:hint="eastAsia"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w:instrText>
      </w:r>
      <w:r>
        <w:rPr>
          <w:rFonts w:hint="eastAsia" w:ascii="宋体" w:hAnsi="宋体" w:cs="宋体"/>
          <w:color w:val="auto"/>
          <w:highlight w:val="none"/>
        </w:rPr>
        <w:instrText xml:space="preserve">INCLUDEPICTURE  "F:\\国建项目\\待开\\.config\\weixin\\wechat\\users\\duhuyaoxiaoye\\message\\cache\\64491d7b8b16711fdb4fb4a4eb00da75\\opendata\\.config\\weixin\\wechat\\users\\duhuyaoxiaoye\\message\\cache\\64491d7b8b16711fdb4fb4a4eb00da75\\opendata\\2024-04\\" \* MERGEFORMATINET</w:instrText>
      </w:r>
      <w:r>
        <w:rPr>
          <w:rFonts w:ascii="宋体" w:hAnsi="宋体" w:cs="宋体"/>
          <w:color w:val="auto"/>
          <w:highlight w:val="none"/>
        </w:rPr>
        <w:instrText xml:space="preserve">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INCLUDEPICTURE  "F:\\国建项目\\待开\\.config\\weixin\\wechat\\users\\duhuyaoxiaoye\\message\\cache\\64491d7b8b16711fdb4fb4a4eb00da75\\opendata\\.config\\weixin\\wechat\\users\\duhuyaoxiaoye\\message\\cache\\64491d7b8b16711fdb4fb4a4eb00da75\\opendata\\2024-04\\" \* MERGEFORMATINET </w:instrText>
      </w:r>
      <w:r>
        <w:rPr>
          <w:rFonts w:ascii="宋体" w:hAnsi="宋体" w:cs="宋体"/>
          <w:color w:val="auto"/>
          <w:highlight w:val="none"/>
        </w:rPr>
        <w:fldChar w:fldCharType="separate"/>
      </w:r>
      <w:r>
        <w:rPr>
          <w:rFonts w:ascii="宋体" w:hAnsi="宋体" w:cs="宋体"/>
          <w:color w:val="auto"/>
          <w:highlight w:val="none"/>
        </w:rPr>
        <w:pict>
          <v:shape id="_x0000_i1025" o:spt="75" type="#_x0000_t75" style="height:140.65pt;width:185pt;" filled="f" o:preferrelative="t" stroked="f" coordsize="21600,21600">
            <v:path/>
            <v:fill on="f" focussize="0,0"/>
            <v:stroke on="f" joinstyle="miter"/>
            <v:imagedata r:id="rId7" r:href="rId8" o:title=""/>
            <o:lock v:ext="edit" aspectratio="t"/>
            <w10:wrap type="none"/>
            <w10:anchorlock/>
          </v:shape>
        </w:pict>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ascii="宋体" w:hAnsi="宋体" w:cs="宋体"/>
          <w:color w:val="auto"/>
          <w:highlight w:val="none"/>
        </w:rPr>
        <w:fldChar w:fldCharType="end"/>
      </w:r>
      <w:r>
        <w:rPr>
          <w:rFonts w:hint="eastAsia" w:ascii="宋体" w:hAnsi="宋体" w:cs="宋体"/>
          <w:color w:val="auto"/>
          <w:highlight w:val="none"/>
        </w:rPr>
        <w:fldChar w:fldCharType="end"/>
      </w:r>
    </w:p>
    <w:p>
      <w:pPr>
        <w:pStyle w:val="22"/>
        <w:snapToGrid w:val="0"/>
        <w:spacing w:before="120" w:after="120" w:line="500" w:lineRule="exact"/>
        <w:jc w:val="left"/>
        <w:rPr>
          <w:rFonts w:hAnsi="宋体" w:cs="宋体"/>
          <w:b/>
          <w:bCs/>
          <w:color w:val="auto"/>
          <w:sz w:val="32"/>
          <w:szCs w:val="36"/>
          <w:highlight w:val="none"/>
        </w:rPr>
      </w:pPr>
    </w:p>
    <w:p>
      <w:pPr>
        <w:pStyle w:val="22"/>
        <w:snapToGrid w:val="0"/>
        <w:spacing w:before="120" w:after="120" w:line="500" w:lineRule="exact"/>
        <w:ind w:firstLine="1970" w:firstLineChars="545"/>
        <w:jc w:val="left"/>
        <w:rPr>
          <w:rFonts w:hAnsi="宋体" w:cs="宋体"/>
          <w:b/>
          <w:bCs/>
          <w:color w:val="auto"/>
          <w:sz w:val="36"/>
          <w:szCs w:val="36"/>
          <w:highlight w:val="none"/>
        </w:rPr>
      </w:pPr>
      <w:r>
        <w:rPr>
          <w:rFonts w:hint="eastAsia" w:hAnsi="宋体" w:cs="宋体"/>
          <w:b/>
          <w:bCs/>
          <w:color w:val="auto"/>
          <w:sz w:val="36"/>
          <w:szCs w:val="36"/>
          <w:highlight w:val="none"/>
        </w:rPr>
        <w:t>采购项目编号：GXGJ2024-C0070-S</w:t>
      </w:r>
    </w:p>
    <w:p>
      <w:pPr>
        <w:pStyle w:val="22"/>
        <w:snapToGrid w:val="0"/>
        <w:spacing w:before="120" w:after="120" w:line="500" w:lineRule="exact"/>
        <w:jc w:val="center"/>
        <w:rPr>
          <w:rFonts w:hAnsi="宋体" w:cs="宋体"/>
          <w:b/>
          <w:color w:val="auto"/>
          <w:sz w:val="36"/>
          <w:szCs w:val="36"/>
          <w:highlight w:val="none"/>
        </w:rPr>
      </w:pPr>
      <w:r>
        <w:rPr>
          <w:rFonts w:hint="eastAsia" w:hAnsi="宋体" w:cs="宋体"/>
          <w:b/>
          <w:color w:val="auto"/>
          <w:sz w:val="36"/>
          <w:szCs w:val="36"/>
          <w:highlight w:val="none"/>
        </w:rPr>
        <w:t>采购项目名称：南宁市望州路军休所军休干部2024年健康疗养</w:t>
      </w:r>
    </w:p>
    <w:p>
      <w:pPr>
        <w:pBdr>
          <w:bottom w:val="thickThinSmallGap" w:color="auto" w:sz="24" w:space="1"/>
        </w:pBdr>
        <w:snapToGrid w:val="0"/>
        <w:spacing w:before="156" w:beforeLines="50" w:line="500" w:lineRule="exact"/>
        <w:jc w:val="left"/>
        <w:rPr>
          <w:rFonts w:ascii="宋体" w:hAnsi="宋体" w:cs="宋体"/>
          <w:b/>
          <w:color w:val="auto"/>
          <w:sz w:val="32"/>
          <w:szCs w:val="36"/>
          <w:highlight w:val="none"/>
        </w:rPr>
      </w:pPr>
    </w:p>
    <w:p>
      <w:pPr>
        <w:snapToGrid w:val="0"/>
        <w:spacing w:before="156" w:beforeLines="50" w:line="500" w:lineRule="exact"/>
        <w:ind w:firstLine="1506" w:firstLineChars="500"/>
        <w:jc w:val="left"/>
        <w:rPr>
          <w:rFonts w:ascii="宋体" w:hAnsi="宋体" w:cs="宋体"/>
          <w:b/>
          <w:color w:val="auto"/>
          <w:sz w:val="30"/>
          <w:szCs w:val="72"/>
          <w:highlight w:val="none"/>
        </w:rPr>
      </w:pPr>
      <w:r>
        <w:rPr>
          <w:rFonts w:hint="eastAsia" w:ascii="宋体" w:hAnsi="宋体" w:cs="宋体"/>
          <w:b/>
          <w:color w:val="auto"/>
          <w:sz w:val="30"/>
          <w:szCs w:val="72"/>
          <w:highlight w:val="none"/>
        </w:rPr>
        <w:t>采   购   人：南宁市军队离休退休干部望州路休养所</w:t>
      </w:r>
    </w:p>
    <w:p>
      <w:pPr>
        <w:snapToGrid w:val="0"/>
        <w:spacing w:before="156" w:beforeLines="50" w:line="500" w:lineRule="exact"/>
        <w:ind w:firstLine="1506" w:firstLineChars="500"/>
        <w:jc w:val="left"/>
        <w:rPr>
          <w:rFonts w:ascii="宋体" w:hAnsi="宋体" w:cs="宋体"/>
          <w:b/>
          <w:color w:val="auto"/>
          <w:sz w:val="30"/>
          <w:szCs w:val="72"/>
          <w:highlight w:val="none"/>
        </w:rPr>
      </w:pPr>
      <w:r>
        <w:rPr>
          <w:rFonts w:hint="eastAsia" w:ascii="宋体" w:hAnsi="宋体" w:cs="宋体"/>
          <w:b/>
          <w:color w:val="auto"/>
          <w:sz w:val="30"/>
          <w:szCs w:val="72"/>
          <w:highlight w:val="none"/>
        </w:rPr>
        <w:t>采购代理机构：广西国建项目管理有限公司</w:t>
      </w:r>
    </w:p>
    <w:p>
      <w:pPr>
        <w:snapToGrid w:val="0"/>
        <w:spacing w:before="156" w:beforeLines="50" w:line="500" w:lineRule="exact"/>
        <w:jc w:val="center"/>
        <w:rPr>
          <w:rFonts w:ascii="宋体" w:hAnsi="宋体" w:cs="宋体"/>
          <w:b/>
          <w:color w:val="auto"/>
          <w:sz w:val="30"/>
          <w:szCs w:val="72"/>
          <w:highlight w:val="none"/>
        </w:rPr>
      </w:pPr>
      <w:r>
        <w:rPr>
          <w:rFonts w:hint="eastAsia" w:ascii="宋体" w:hAnsi="宋体" w:cs="宋体"/>
          <w:b/>
          <w:color w:val="auto"/>
          <w:sz w:val="30"/>
          <w:szCs w:val="72"/>
          <w:highlight w:val="none"/>
        </w:rPr>
        <w:t>2024年5月</w:t>
      </w:r>
    </w:p>
    <w:p>
      <w:pPr>
        <w:jc w:val="center"/>
        <w:rPr>
          <w:rFonts w:ascii="宋体" w:hAnsi="宋体" w:cs="宋体"/>
          <w:b/>
          <w:color w:val="auto"/>
          <w:sz w:val="44"/>
          <w:szCs w:val="44"/>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 xml:space="preserve"> </w:t>
      </w:r>
    </w:p>
    <w:p>
      <w:pPr>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pPr>
        <w:jc w:val="center"/>
        <w:rPr>
          <w:rFonts w:ascii="宋体" w:hAnsi="宋体" w:cs="宋体"/>
          <w:b/>
          <w:color w:val="auto"/>
          <w:sz w:val="44"/>
          <w:szCs w:val="44"/>
          <w:highlight w:val="none"/>
        </w:rPr>
      </w:pPr>
    </w:p>
    <w:p>
      <w:pPr>
        <w:pStyle w:val="28"/>
        <w:tabs>
          <w:tab w:val="right" w:leader="dot" w:pos="9628"/>
        </w:tabs>
        <w:rPr>
          <w:rFonts w:ascii="宋体" w:hAnsi="宋体" w:cs="宋体"/>
          <w:color w:val="auto"/>
          <w:sz w:val="32"/>
          <w:szCs w:val="32"/>
          <w:highlight w:val="none"/>
        </w:rPr>
      </w:pPr>
      <w:r>
        <w:rPr>
          <w:rFonts w:hint="eastAsia" w:ascii="宋体" w:hAnsi="宋体" w:cs="宋体"/>
          <w:b/>
          <w:color w:val="auto"/>
          <w:sz w:val="32"/>
          <w:szCs w:val="32"/>
          <w:highlight w:val="none"/>
        </w:rPr>
        <w:fldChar w:fldCharType="begin"/>
      </w:r>
      <w:r>
        <w:rPr>
          <w:rFonts w:hint="eastAsia" w:ascii="宋体" w:hAnsi="宋体" w:cs="宋体"/>
          <w:b/>
          <w:color w:val="auto"/>
          <w:sz w:val="32"/>
          <w:szCs w:val="32"/>
          <w:highlight w:val="none"/>
        </w:rPr>
        <w:instrText xml:space="preserve"> TOC \o "1-1" \h \z \u </w:instrText>
      </w:r>
      <w:r>
        <w:rPr>
          <w:rFonts w:hint="eastAsia" w:ascii="宋体" w:hAnsi="宋体" w:cs="宋体"/>
          <w:b/>
          <w:color w:val="auto"/>
          <w:sz w:val="32"/>
          <w:szCs w:val="32"/>
          <w:highlight w:val="none"/>
        </w:rPr>
        <w:fldChar w:fldCharType="separate"/>
      </w:r>
      <w:r>
        <w:rPr>
          <w:color w:val="auto"/>
          <w:highlight w:val="none"/>
        </w:rPr>
        <w:fldChar w:fldCharType="begin"/>
      </w:r>
      <w:r>
        <w:rPr>
          <w:color w:val="auto"/>
          <w:highlight w:val="none"/>
        </w:rPr>
        <w:instrText xml:space="preserve"> HYPERLINK \l "_Toc476258756" </w:instrText>
      </w:r>
      <w:r>
        <w:rPr>
          <w:color w:val="auto"/>
          <w:highlight w:val="none"/>
        </w:rPr>
        <w:fldChar w:fldCharType="separate"/>
      </w:r>
      <w:r>
        <w:rPr>
          <w:rStyle w:val="44"/>
          <w:rFonts w:hint="eastAsia" w:ascii="宋体" w:hAnsi="宋体" w:cs="宋体"/>
          <w:color w:val="auto"/>
          <w:sz w:val="32"/>
          <w:szCs w:val="32"/>
          <w:highlight w:val="none"/>
        </w:rPr>
        <w:t>第一章  竞争性磋商公告</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_Toc476258756 \h </w:instrText>
      </w:r>
      <w:r>
        <w:rPr>
          <w:rFonts w:hint="eastAsia" w:ascii="宋体" w:hAnsi="宋体" w:cs="宋体"/>
          <w:color w:val="auto"/>
          <w:sz w:val="32"/>
          <w:szCs w:val="32"/>
          <w:highlight w:val="none"/>
        </w:rPr>
        <w:fldChar w:fldCharType="separate"/>
      </w:r>
      <w:r>
        <w:rPr>
          <w:rFonts w:ascii="宋体" w:hAnsi="宋体" w:cs="宋体"/>
          <w:color w:val="auto"/>
          <w:sz w:val="32"/>
          <w:szCs w:val="32"/>
          <w:highlight w:val="none"/>
        </w:rPr>
        <w:t>2</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28"/>
        <w:tabs>
          <w:tab w:val="right" w:leader="dot" w:pos="9628"/>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"_Toc476258757" </w:instrText>
      </w:r>
      <w:r>
        <w:rPr>
          <w:color w:val="auto"/>
          <w:highlight w:val="none"/>
        </w:rPr>
        <w:fldChar w:fldCharType="separate"/>
      </w:r>
      <w:r>
        <w:rPr>
          <w:rStyle w:val="44"/>
          <w:rFonts w:hint="eastAsia" w:ascii="宋体" w:hAnsi="宋体" w:cs="宋体"/>
          <w:color w:val="auto"/>
          <w:sz w:val="32"/>
          <w:szCs w:val="32"/>
          <w:highlight w:val="none"/>
        </w:rPr>
        <w:t>第二章  磋商供应商须知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_Toc476258757 \h </w:instrText>
      </w:r>
      <w:r>
        <w:rPr>
          <w:rFonts w:hint="eastAsia" w:ascii="宋体" w:hAnsi="宋体" w:cs="宋体"/>
          <w:color w:val="auto"/>
          <w:sz w:val="32"/>
          <w:szCs w:val="32"/>
          <w:highlight w:val="none"/>
        </w:rPr>
        <w:fldChar w:fldCharType="separate"/>
      </w:r>
      <w:r>
        <w:rPr>
          <w:rFonts w:ascii="宋体" w:hAnsi="宋体" w:cs="宋体"/>
          <w:color w:val="auto"/>
          <w:sz w:val="32"/>
          <w:szCs w:val="32"/>
          <w:highlight w:val="none"/>
        </w:rPr>
        <w:t>6</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pPr>
        <w:pStyle w:val="28"/>
        <w:tabs>
          <w:tab w:val="right" w:leader="dot" w:pos="9628"/>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"_Toc476258758" </w:instrText>
      </w:r>
      <w:r>
        <w:rPr>
          <w:color w:val="auto"/>
          <w:highlight w:val="none"/>
        </w:rPr>
        <w:fldChar w:fldCharType="separate"/>
      </w:r>
      <w:r>
        <w:rPr>
          <w:rStyle w:val="44"/>
          <w:rFonts w:hint="eastAsia" w:ascii="宋体" w:hAnsi="宋体" w:cs="宋体"/>
          <w:color w:val="auto"/>
          <w:sz w:val="32"/>
          <w:szCs w:val="32"/>
          <w:highlight w:val="none"/>
        </w:rPr>
        <w:t>第三章  采购</w:t>
      </w:r>
      <w:bookmarkStart w:id="0" w:name="_Hlt496918403"/>
      <w:bookmarkStart w:id="1" w:name="_Hlt496918402"/>
      <w:r>
        <w:rPr>
          <w:rStyle w:val="44"/>
          <w:rFonts w:hint="eastAsia" w:ascii="宋体" w:hAnsi="宋体" w:cs="宋体"/>
          <w:color w:val="auto"/>
          <w:sz w:val="32"/>
          <w:szCs w:val="32"/>
          <w:highlight w:val="none"/>
        </w:rPr>
        <w:t>需</w:t>
      </w:r>
      <w:bookmarkEnd w:id="0"/>
      <w:bookmarkEnd w:id="1"/>
      <w:bookmarkStart w:id="2" w:name="_Hlt476673918"/>
      <w:bookmarkStart w:id="3" w:name="_Hlt476673919"/>
      <w:r>
        <w:rPr>
          <w:rStyle w:val="44"/>
          <w:rFonts w:hint="eastAsia" w:ascii="宋体" w:hAnsi="宋体" w:cs="宋体"/>
          <w:color w:val="auto"/>
          <w:sz w:val="32"/>
          <w:szCs w:val="32"/>
          <w:highlight w:val="none"/>
        </w:rPr>
        <w:t>求</w:t>
      </w:r>
      <w:bookmarkEnd w:id="2"/>
      <w:bookmarkEnd w:id="3"/>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20</w:t>
      </w:r>
    </w:p>
    <w:p>
      <w:pPr>
        <w:pStyle w:val="28"/>
        <w:tabs>
          <w:tab w:val="right" w:leader="dot" w:pos="9628"/>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"_Toc476258759" </w:instrText>
      </w:r>
      <w:r>
        <w:rPr>
          <w:color w:val="auto"/>
          <w:highlight w:val="none"/>
        </w:rPr>
        <w:fldChar w:fldCharType="separate"/>
      </w:r>
      <w:r>
        <w:rPr>
          <w:rStyle w:val="44"/>
          <w:rFonts w:hint="eastAsia" w:ascii="宋体" w:hAnsi="宋体" w:cs="宋体"/>
          <w:color w:val="auto"/>
          <w:sz w:val="32"/>
          <w:szCs w:val="32"/>
          <w:highlight w:val="none"/>
        </w:rPr>
        <w:t>第四章  竞争性磋商响应</w:t>
      </w:r>
      <w:bookmarkStart w:id="4" w:name="_Hlt105768889"/>
      <w:bookmarkStart w:id="5" w:name="_Hlt105768890"/>
      <w:r>
        <w:rPr>
          <w:rStyle w:val="44"/>
          <w:rFonts w:hint="eastAsia" w:ascii="宋体" w:hAnsi="宋体" w:cs="宋体"/>
          <w:color w:val="auto"/>
          <w:sz w:val="32"/>
          <w:szCs w:val="32"/>
          <w:highlight w:val="none"/>
        </w:rPr>
        <w:t>文</w:t>
      </w:r>
      <w:bookmarkEnd w:id="4"/>
      <w:bookmarkEnd w:id="5"/>
      <w:r>
        <w:rPr>
          <w:rStyle w:val="44"/>
          <w:rFonts w:hint="eastAsia" w:ascii="宋体" w:hAnsi="宋体" w:cs="宋体"/>
          <w:color w:val="auto"/>
          <w:sz w:val="32"/>
          <w:szCs w:val="32"/>
          <w:highlight w:val="none"/>
        </w:rPr>
        <w:t>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33</w:t>
      </w:r>
    </w:p>
    <w:p>
      <w:pPr>
        <w:pStyle w:val="28"/>
        <w:tabs>
          <w:tab w:val="right" w:leader="dot" w:pos="9628"/>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"_Toc476258760" </w:instrText>
      </w:r>
      <w:r>
        <w:rPr>
          <w:color w:val="auto"/>
          <w:highlight w:val="none"/>
        </w:rPr>
        <w:fldChar w:fldCharType="separate"/>
      </w:r>
      <w:r>
        <w:rPr>
          <w:rStyle w:val="44"/>
          <w:rFonts w:hint="eastAsia" w:ascii="宋体" w:hAnsi="宋体" w:cs="宋体"/>
          <w:color w:val="auto"/>
          <w:kern w:val="0"/>
          <w:sz w:val="32"/>
          <w:szCs w:val="32"/>
          <w:highlight w:val="none"/>
        </w:rPr>
        <w:t>第五章  合</w:t>
      </w:r>
      <w:bookmarkStart w:id="6" w:name="_Hlt111193666"/>
      <w:bookmarkStart w:id="7" w:name="_Hlt111193667"/>
      <w:r>
        <w:rPr>
          <w:rStyle w:val="44"/>
          <w:rFonts w:hint="eastAsia" w:ascii="宋体" w:hAnsi="宋体" w:cs="宋体"/>
          <w:color w:val="auto"/>
          <w:kern w:val="0"/>
          <w:sz w:val="32"/>
          <w:szCs w:val="32"/>
          <w:highlight w:val="none"/>
        </w:rPr>
        <w:t>同</w:t>
      </w:r>
      <w:bookmarkEnd w:id="6"/>
      <w:bookmarkEnd w:id="7"/>
      <w:r>
        <w:rPr>
          <w:rStyle w:val="44"/>
          <w:rFonts w:hint="eastAsia" w:ascii="宋体" w:hAnsi="宋体" w:cs="宋体"/>
          <w:color w:val="auto"/>
          <w:kern w:val="0"/>
          <w:sz w:val="32"/>
          <w:szCs w:val="32"/>
          <w:highlight w:val="none"/>
        </w:rPr>
        <w:t>主要条款</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47</w:t>
      </w:r>
    </w:p>
    <w:p>
      <w:pPr>
        <w:pStyle w:val="28"/>
        <w:tabs>
          <w:tab w:val="right" w:leader="dot" w:pos="9628"/>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"_Toc476258761" </w:instrText>
      </w:r>
      <w:r>
        <w:rPr>
          <w:color w:val="auto"/>
          <w:highlight w:val="none"/>
        </w:rPr>
        <w:fldChar w:fldCharType="separate"/>
      </w:r>
      <w:r>
        <w:rPr>
          <w:rStyle w:val="44"/>
          <w:rFonts w:hint="eastAsia" w:ascii="宋体" w:hAnsi="宋体" w:cs="宋体"/>
          <w:color w:val="auto"/>
          <w:kern w:val="0"/>
          <w:sz w:val="32"/>
          <w:szCs w:val="32"/>
          <w:highlight w:val="none"/>
        </w:rPr>
        <w:t>第六章  评标标</w:t>
      </w:r>
      <w:bookmarkStart w:id="8" w:name="_Hlt514850010"/>
      <w:bookmarkStart w:id="9" w:name="_Hlt514850011"/>
      <w:r>
        <w:rPr>
          <w:rStyle w:val="44"/>
          <w:rFonts w:hint="eastAsia" w:ascii="宋体" w:hAnsi="宋体" w:cs="宋体"/>
          <w:color w:val="auto"/>
          <w:kern w:val="0"/>
          <w:sz w:val="32"/>
          <w:szCs w:val="32"/>
          <w:highlight w:val="none"/>
        </w:rPr>
        <w:t>准</w:t>
      </w:r>
      <w:bookmarkEnd w:id="8"/>
      <w:bookmarkEnd w:id="9"/>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t>67</w:t>
      </w: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fldChar w:fldCharType="end"/>
      </w:r>
    </w:p>
    <w:p>
      <w:pPr>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br w:type="page"/>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rPr>
          <w:rFonts w:ascii="宋体" w:hAnsi="宋体" w:cs="宋体"/>
          <w:b/>
          <w:color w:val="auto"/>
          <w:sz w:val="32"/>
          <w:szCs w:val="32"/>
          <w:highlight w:val="none"/>
        </w:rPr>
      </w:pPr>
    </w:p>
    <w:p>
      <w:pPr>
        <w:pStyle w:val="36"/>
        <w:rPr>
          <w:rFonts w:ascii="宋体" w:hAnsi="宋体" w:cs="宋体"/>
          <w:color w:val="auto"/>
          <w:sz w:val="44"/>
          <w:szCs w:val="44"/>
          <w:highlight w:val="none"/>
        </w:rPr>
      </w:pPr>
      <w:bookmarkStart w:id="10" w:name="_Toc476258662"/>
      <w:bookmarkStart w:id="11" w:name="_Toc476258756"/>
      <w:r>
        <w:rPr>
          <w:rFonts w:hint="eastAsia" w:ascii="宋体" w:hAnsi="宋体" w:cs="宋体"/>
          <w:color w:val="auto"/>
          <w:sz w:val="44"/>
          <w:szCs w:val="44"/>
          <w:highlight w:val="none"/>
        </w:rPr>
        <w:t>第一章  竞争性磋商公告</w:t>
      </w:r>
      <w:bookmarkEnd w:id="10"/>
      <w:bookmarkEnd w:id="11"/>
    </w:p>
    <w:p>
      <w:pPr>
        <w:jc w:val="center"/>
        <w:rPr>
          <w:rFonts w:ascii="宋体" w:hAnsi="宋体" w:cs="宋体"/>
          <w:b/>
          <w:bCs/>
          <w:color w:val="auto"/>
          <w:sz w:val="30"/>
          <w:szCs w:val="30"/>
          <w:highlight w:val="none"/>
        </w:rPr>
      </w:pPr>
      <w:r>
        <w:rPr>
          <w:rFonts w:hint="eastAsia" w:ascii="宋体" w:hAnsi="宋体" w:cs="宋体"/>
          <w:color w:val="auto"/>
          <w:sz w:val="44"/>
          <w:szCs w:val="44"/>
          <w:highlight w:val="none"/>
        </w:rPr>
        <w:br w:type="page"/>
      </w:r>
      <w:bookmarkStart w:id="12" w:name="_Toc35393797"/>
      <w:bookmarkStart w:id="13" w:name="_Toc28359011"/>
      <w:r>
        <w:rPr>
          <w:rFonts w:hint="eastAsia" w:ascii="宋体" w:hAnsi="宋体" w:cs="宋体"/>
          <w:b/>
          <w:bCs/>
          <w:color w:val="auto"/>
          <w:sz w:val="30"/>
          <w:szCs w:val="30"/>
          <w:highlight w:val="none"/>
        </w:rPr>
        <w:t>广西国建项目管理有限公司关于南宁市望州路军休所军休干部2024年健康疗养（GXGJ2024-C0070-S）竞争性磋商公告</w:t>
      </w:r>
      <w:bookmarkEnd w:id="12"/>
      <w:bookmarkEnd w:id="13"/>
    </w:p>
    <w:p>
      <w:pPr>
        <w:pBdr>
          <w:top w:val="single" w:color="auto" w:sz="4" w:space="1"/>
          <w:left w:val="single" w:color="auto" w:sz="4" w:space="4"/>
          <w:bottom w:val="single" w:color="auto" w:sz="4" w:space="1"/>
          <w:right w:val="single" w:color="auto" w:sz="4" w:space="4"/>
        </w:pBdr>
        <w:spacing w:line="380" w:lineRule="exact"/>
        <w:ind w:firstLine="422" w:firstLineChars="200"/>
        <w:rPr>
          <w:rFonts w:ascii="宋体" w:hAnsi="宋体" w:cs="宋体"/>
          <w:b/>
          <w:bCs/>
          <w:color w:val="auto"/>
          <w:highlight w:val="none"/>
        </w:rPr>
      </w:pPr>
      <w:r>
        <w:rPr>
          <w:rFonts w:hint="eastAsia" w:ascii="宋体" w:hAnsi="宋体" w:cs="宋体"/>
          <w:b/>
          <w:bCs/>
          <w:color w:val="auto"/>
          <w:szCs w:val="21"/>
          <w:highlight w:val="none"/>
          <w:lang w:bidi="ar"/>
        </w:rPr>
        <w:t>项目概况</w:t>
      </w:r>
    </w:p>
    <w:p>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s="宋体"/>
          <w:color w:val="auto"/>
          <w:highlight w:val="none"/>
        </w:rPr>
      </w:pPr>
      <w:r>
        <w:rPr>
          <w:rFonts w:hint="eastAsia" w:ascii="宋体" w:hAnsi="宋体" w:cs="宋体"/>
          <w:color w:val="auto"/>
          <w:szCs w:val="21"/>
          <w:highlight w:val="none"/>
          <w:u w:val="single"/>
          <w:lang w:bidi="ar"/>
        </w:rPr>
        <w:t>南宁市望州路军休所军休干部2024年健康疗养</w:t>
      </w:r>
      <w:r>
        <w:rPr>
          <w:rFonts w:hint="eastAsia" w:ascii="宋体" w:hAnsi="宋体" w:cs="宋体"/>
          <w:color w:val="auto"/>
          <w:szCs w:val="21"/>
          <w:highlight w:val="none"/>
          <w:lang w:bidi="ar"/>
        </w:rPr>
        <w:t>的潜在供应商应在</w:t>
      </w:r>
      <w:r>
        <w:rPr>
          <w:rFonts w:hint="eastAsia" w:ascii="宋体" w:hAnsi="宋体" w:cs="宋体"/>
          <w:color w:val="auto"/>
          <w:szCs w:val="21"/>
          <w:highlight w:val="none"/>
          <w:u w:val="single"/>
          <w:lang w:bidi="ar"/>
        </w:rPr>
        <w:t>广西国建项目管理有限公司（广西南宁市白沙大道53号松宇时代17楼）</w:t>
      </w:r>
      <w:r>
        <w:rPr>
          <w:rFonts w:hint="eastAsia" w:ascii="宋体" w:hAnsi="宋体" w:cs="宋体"/>
          <w:color w:val="auto"/>
          <w:szCs w:val="21"/>
          <w:highlight w:val="none"/>
          <w:lang w:bidi="ar"/>
        </w:rPr>
        <w:t>获取采购文件，并于</w:t>
      </w:r>
      <w:r>
        <w:rPr>
          <w:rFonts w:hint="eastAsia" w:ascii="宋体" w:hAnsi="宋体" w:cs="宋体"/>
          <w:b/>
          <w:bCs/>
          <w:color w:val="auto"/>
          <w:szCs w:val="21"/>
          <w:highlight w:val="none"/>
          <w:u w:val="single"/>
          <w:lang w:bidi="ar"/>
        </w:rPr>
        <w:t>2024年5月17日9点30分</w:t>
      </w:r>
      <w:r>
        <w:rPr>
          <w:rFonts w:hint="eastAsia" w:ascii="宋体" w:hAnsi="宋体" w:cs="宋体"/>
          <w:bCs/>
          <w:color w:val="auto"/>
          <w:szCs w:val="21"/>
          <w:highlight w:val="none"/>
          <w:lang w:bidi="ar"/>
        </w:rPr>
        <w:t>（北京时间）前提交响应文件</w:t>
      </w:r>
      <w:r>
        <w:rPr>
          <w:rFonts w:hint="eastAsia" w:ascii="宋体" w:hAnsi="宋体" w:cs="宋体"/>
          <w:color w:val="auto"/>
          <w:szCs w:val="21"/>
          <w:highlight w:val="none"/>
          <w:lang w:bidi="ar"/>
        </w:rPr>
        <w:t>。</w:t>
      </w:r>
    </w:p>
    <w:p>
      <w:pPr>
        <w:spacing w:line="380" w:lineRule="exact"/>
        <w:rPr>
          <w:rFonts w:ascii="宋体" w:hAnsi="宋体" w:cs="宋体"/>
          <w:b/>
          <w:color w:val="auto"/>
          <w:szCs w:val="21"/>
          <w:highlight w:val="none"/>
          <w:lang w:bidi="ar"/>
        </w:rPr>
      </w:pPr>
      <w:bookmarkStart w:id="14" w:name="_Toc35393798"/>
      <w:bookmarkStart w:id="15" w:name="_Toc28359012"/>
      <w:bookmarkStart w:id="16" w:name="_Toc35393629"/>
      <w:bookmarkStart w:id="17" w:name="_Toc28359089"/>
      <w:bookmarkStart w:id="93" w:name="_GoBack"/>
      <w:bookmarkEnd w:id="93"/>
    </w:p>
    <w:p>
      <w:pPr>
        <w:spacing w:line="400" w:lineRule="exact"/>
        <w:rPr>
          <w:rFonts w:ascii="宋体" w:hAnsi="宋体" w:cs="宋体"/>
          <w:b/>
          <w:color w:val="auto"/>
          <w:highlight w:val="none"/>
        </w:rPr>
      </w:pPr>
      <w:r>
        <w:rPr>
          <w:rFonts w:hint="eastAsia" w:ascii="宋体" w:hAnsi="宋体" w:cs="宋体"/>
          <w:b/>
          <w:color w:val="auto"/>
          <w:szCs w:val="21"/>
          <w:highlight w:val="none"/>
          <w:lang w:bidi="ar"/>
        </w:rPr>
        <w:t>一、项目基本情况</w:t>
      </w:r>
      <w:bookmarkEnd w:id="14"/>
      <w:bookmarkEnd w:id="15"/>
      <w:bookmarkEnd w:id="16"/>
      <w:bookmarkEnd w:id="17"/>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项目编号：GXGJ2024-C0070-S</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项目名称：南宁市望州路军休所军休干部2024年健康疗养</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 xml:space="preserve">采购方式：□竞争性谈判 </w:t>
      </w:r>
      <w:r>
        <w:rPr>
          <w:rFonts w:ascii="Segoe UI Symbol" w:hAnsi="Segoe UI Symbol" w:cs="Segoe UI Symbol"/>
          <w:color w:val="auto"/>
          <w:szCs w:val="21"/>
          <w:highlight w:val="none"/>
          <w:lang w:bidi="ar"/>
        </w:rPr>
        <w:t>☑</w:t>
      </w:r>
      <w:r>
        <w:rPr>
          <w:rFonts w:hint="eastAsia" w:ascii="宋体" w:hAnsi="宋体" w:cs="宋体"/>
          <w:color w:val="auto"/>
          <w:szCs w:val="21"/>
          <w:highlight w:val="none"/>
          <w:lang w:bidi="ar"/>
        </w:rPr>
        <w:t>竞争性磋商 □询价</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预算金额：</w:t>
      </w:r>
      <w:r>
        <w:rPr>
          <w:rFonts w:ascii="宋体" w:hAnsi="宋体" w:cs="宋体"/>
          <w:color w:val="auto"/>
          <w:szCs w:val="21"/>
          <w:highlight w:val="none"/>
          <w:lang w:bidi="ar"/>
        </w:rPr>
        <w:t>48.5</w:t>
      </w:r>
      <w:r>
        <w:rPr>
          <w:rFonts w:hint="eastAsia" w:ascii="宋体" w:hAnsi="宋体" w:cs="宋体"/>
          <w:color w:val="auto"/>
          <w:szCs w:val="21"/>
          <w:highlight w:val="none"/>
          <w:lang w:bidi="ar"/>
        </w:rPr>
        <w:t>万元</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highlight w:val="none"/>
        </w:rPr>
        <w:t>采购需求：</w:t>
      </w:r>
      <w:r>
        <w:rPr>
          <w:rFonts w:hint="eastAsia" w:ascii="宋体" w:hAnsi="宋体" w:cs="宋体"/>
          <w:color w:val="auto"/>
          <w:szCs w:val="21"/>
          <w:highlight w:val="none"/>
          <w:lang w:bidi="ar"/>
        </w:rPr>
        <w:t>南宁市望州路军休所军休干部2024年健康疗养</w:t>
      </w:r>
      <w:r>
        <w:rPr>
          <w:rFonts w:hint="eastAsia" w:ascii="宋体" w:hAnsi="宋体" w:cs="宋体"/>
          <w:color w:val="auto"/>
          <w:highlight w:val="none"/>
        </w:rPr>
        <w:t>1项。如需进一步了解详细内容，详见采购文件。</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合同履行期限：详见采购文件</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本项目不接受联合体。</w:t>
      </w:r>
    </w:p>
    <w:p>
      <w:pPr>
        <w:spacing w:line="400" w:lineRule="exact"/>
        <w:rPr>
          <w:rFonts w:ascii="宋体" w:hAnsi="宋体" w:cs="宋体"/>
          <w:b/>
          <w:color w:val="auto"/>
          <w:highlight w:val="none"/>
        </w:rPr>
      </w:pPr>
      <w:bookmarkStart w:id="18" w:name="_Toc28359090"/>
      <w:bookmarkStart w:id="19" w:name="_Toc28359013"/>
      <w:bookmarkStart w:id="20" w:name="_Toc35393630"/>
      <w:bookmarkStart w:id="21" w:name="_Toc35393799"/>
      <w:r>
        <w:rPr>
          <w:rFonts w:hint="eastAsia" w:ascii="宋体" w:hAnsi="宋体" w:cs="宋体"/>
          <w:b/>
          <w:color w:val="auto"/>
          <w:szCs w:val="21"/>
          <w:highlight w:val="none"/>
          <w:lang w:bidi="ar"/>
        </w:rPr>
        <w:t>二、申请人的资格要求：</w:t>
      </w:r>
      <w:bookmarkEnd w:id="18"/>
      <w:bookmarkEnd w:id="19"/>
      <w:bookmarkEnd w:id="20"/>
      <w:bookmarkEnd w:id="21"/>
    </w:p>
    <w:p>
      <w:pPr>
        <w:spacing w:line="400" w:lineRule="exact"/>
        <w:ind w:firstLine="420" w:firstLineChars="200"/>
        <w:rPr>
          <w:rFonts w:ascii="宋体" w:hAnsi="宋体" w:cs="宋体"/>
          <w:color w:val="auto"/>
          <w:szCs w:val="21"/>
          <w:highlight w:val="none"/>
          <w:lang w:bidi="ar"/>
        </w:rPr>
      </w:pPr>
      <w:bookmarkStart w:id="22" w:name="_Toc35393800"/>
      <w:bookmarkStart w:id="23" w:name="_Toc35393631"/>
      <w:bookmarkStart w:id="24" w:name="_Toc28359014"/>
      <w:bookmarkStart w:id="25" w:name="_Toc28359091"/>
      <w:r>
        <w:rPr>
          <w:rFonts w:hint="eastAsia" w:ascii="宋体" w:hAnsi="宋体" w:cs="宋体"/>
          <w:color w:val="auto"/>
          <w:szCs w:val="21"/>
          <w:highlight w:val="none"/>
          <w:lang w:bidi="ar"/>
        </w:rPr>
        <w:t>1.满足《中华人民共和国政府采购法》第二十二条规定；</w:t>
      </w:r>
    </w:p>
    <w:p>
      <w:pPr>
        <w:spacing w:line="400" w:lineRule="exact"/>
        <w:ind w:firstLine="420" w:firstLineChars="200"/>
        <w:rPr>
          <w:color w:val="auto"/>
          <w:highlight w:val="none"/>
        </w:rPr>
      </w:pPr>
      <w:r>
        <w:rPr>
          <w:rFonts w:hint="eastAsia" w:ascii="宋体" w:hAnsi="宋体" w:cs="宋体"/>
          <w:color w:val="auto"/>
          <w:szCs w:val="21"/>
          <w:highlight w:val="none"/>
          <w:lang w:bidi="ar"/>
        </w:rPr>
        <w:t>2.本项目为非专门面向中小企业采购的项目；</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3.</w:t>
      </w:r>
      <w:r>
        <w:rPr>
          <w:rFonts w:hint="eastAsia" w:ascii="宋体" w:hAnsi="宋体" w:cs="宋体"/>
          <w:color w:val="auto"/>
          <w:highlight w:val="none"/>
        </w:rPr>
        <w:t>本项目的特定资格要求：无；</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4.本项目不接受未购买本采购文件的供应商参加磋商；</w:t>
      </w:r>
    </w:p>
    <w:p>
      <w:pPr>
        <w:spacing w:line="40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6.参加采购活动前三年内，在经营活动中没有重大违法记录和不良信用记录；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pPr>
        <w:spacing w:line="400" w:lineRule="exact"/>
        <w:rPr>
          <w:rFonts w:ascii="宋体" w:hAnsi="宋体" w:cs="宋体"/>
          <w:b/>
          <w:color w:val="auto"/>
          <w:highlight w:val="none"/>
        </w:rPr>
      </w:pPr>
      <w:r>
        <w:rPr>
          <w:rFonts w:hint="eastAsia" w:ascii="宋体" w:hAnsi="宋体" w:cs="宋体"/>
          <w:b/>
          <w:color w:val="auto"/>
          <w:szCs w:val="21"/>
          <w:highlight w:val="none"/>
          <w:lang w:bidi="ar"/>
        </w:rPr>
        <w:t>三、获取采购文件</w:t>
      </w:r>
      <w:bookmarkEnd w:id="22"/>
      <w:bookmarkEnd w:id="23"/>
      <w:bookmarkEnd w:id="24"/>
      <w:bookmarkEnd w:id="25"/>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b/>
          <w:bCs/>
          <w:color w:val="auto"/>
          <w:highlight w:val="none"/>
          <w:u w:val="single"/>
        </w:rPr>
        <w:t>2024年5月6日</w:t>
      </w:r>
      <w:r>
        <w:rPr>
          <w:rFonts w:hint="eastAsia" w:ascii="宋体" w:hAnsi="宋体" w:cs="宋体"/>
          <w:b/>
          <w:bCs/>
          <w:color w:val="auto"/>
          <w:highlight w:val="none"/>
        </w:rPr>
        <w:t>至</w:t>
      </w:r>
      <w:r>
        <w:rPr>
          <w:rFonts w:hint="eastAsia" w:ascii="宋体" w:hAnsi="宋体" w:cs="宋体"/>
          <w:b/>
          <w:bCs/>
          <w:color w:val="auto"/>
          <w:highlight w:val="none"/>
          <w:u w:val="single"/>
        </w:rPr>
        <w:t>2024年5月11日</w:t>
      </w:r>
      <w:r>
        <w:rPr>
          <w:rFonts w:hint="eastAsia" w:ascii="宋体" w:hAnsi="宋体" w:cs="宋体"/>
          <w:color w:val="auto"/>
          <w:highlight w:val="none"/>
        </w:rPr>
        <w:t>，每天上午</w:t>
      </w:r>
      <w:r>
        <w:rPr>
          <w:rFonts w:hint="eastAsia" w:ascii="宋体" w:hAnsi="宋体" w:cs="宋体"/>
          <w:color w:val="auto"/>
          <w:highlight w:val="none"/>
          <w:u w:val="single"/>
        </w:rPr>
        <w:t>8：30</w:t>
      </w:r>
      <w:r>
        <w:rPr>
          <w:rFonts w:hint="eastAsia" w:ascii="宋体" w:hAnsi="宋体" w:cs="宋体"/>
          <w:color w:val="auto"/>
          <w:highlight w:val="none"/>
        </w:rPr>
        <w:t>至</w:t>
      </w:r>
      <w:r>
        <w:rPr>
          <w:rFonts w:hint="eastAsia" w:ascii="宋体" w:hAnsi="宋体" w:cs="宋体"/>
          <w:color w:val="auto"/>
          <w:highlight w:val="none"/>
          <w:u w:val="single"/>
        </w:rPr>
        <w:t>12：00</w:t>
      </w:r>
      <w:r>
        <w:rPr>
          <w:rFonts w:hint="eastAsia" w:ascii="宋体" w:hAnsi="宋体" w:cs="宋体"/>
          <w:color w:val="auto"/>
          <w:highlight w:val="none"/>
        </w:rPr>
        <w:t>，下午</w:t>
      </w:r>
      <w:r>
        <w:rPr>
          <w:rFonts w:hint="eastAsia" w:ascii="宋体" w:hAnsi="宋体" w:cs="宋体"/>
          <w:color w:val="auto"/>
          <w:highlight w:val="none"/>
          <w:u w:val="single"/>
        </w:rPr>
        <w:t>3：00</w:t>
      </w:r>
      <w:r>
        <w:rPr>
          <w:rFonts w:hint="eastAsia" w:ascii="宋体" w:hAnsi="宋体" w:cs="宋体"/>
          <w:color w:val="auto"/>
          <w:highlight w:val="none"/>
        </w:rPr>
        <w:t>至</w:t>
      </w:r>
      <w:r>
        <w:rPr>
          <w:rFonts w:hint="eastAsia" w:ascii="宋体" w:hAnsi="宋体" w:cs="宋体"/>
          <w:color w:val="auto"/>
          <w:highlight w:val="none"/>
          <w:u w:val="single"/>
        </w:rPr>
        <w:t>6：00</w:t>
      </w:r>
      <w:r>
        <w:rPr>
          <w:rFonts w:hint="eastAsia" w:ascii="宋体" w:hAnsi="宋体" w:cs="宋体"/>
          <w:color w:val="auto"/>
          <w:highlight w:val="none"/>
        </w:rPr>
        <w:t>（北京时间，法定节假日除外）</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szCs w:val="21"/>
          <w:highlight w:val="none"/>
          <w:lang w:bidi="ar"/>
        </w:rPr>
        <w:t>2.地点：广西南宁市白沙大道53号松宇时代17楼财务室（电话：0771-4915599）</w:t>
      </w:r>
    </w:p>
    <w:p>
      <w:pPr>
        <w:spacing w:line="400" w:lineRule="exact"/>
        <w:ind w:firstLine="420" w:firstLineChars="200"/>
        <w:rPr>
          <w:rFonts w:ascii="宋体" w:hAnsi="宋体" w:cs="宋体"/>
          <w:color w:val="auto"/>
          <w:highlight w:val="none"/>
          <w:u w:val="single"/>
        </w:rPr>
      </w:pPr>
      <w:r>
        <w:rPr>
          <w:rFonts w:hint="eastAsia" w:ascii="宋体" w:hAnsi="宋体" w:cs="宋体"/>
          <w:color w:val="auto"/>
          <w:szCs w:val="21"/>
          <w:highlight w:val="none"/>
          <w:lang w:bidi="ar"/>
        </w:rPr>
        <w:t>3.方式：获取时间内，供应商代表携带授权委托书原件或复印件到获取地点购买。【邮购文件的，需于获取截止时间前，将以上材料邮寄或传真到采购代理机构，或发送到采购代理机构电子邮箱（gxguojian@126.com）进行报名，同时请注明供应商名称、项目名称、分标号（如有）、项目编号、供应商收件人、邮寄地址、邮编、电子邮箱、联系电话、传真号码等信息。】</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4.售价：采购文件工本费每本</w:t>
      </w:r>
      <w:r>
        <w:rPr>
          <w:rFonts w:hint="eastAsia" w:ascii="宋体" w:hAnsi="宋体" w:cs="宋体"/>
          <w:color w:val="auto"/>
          <w:szCs w:val="21"/>
          <w:highlight w:val="none"/>
          <w:u w:val="single"/>
          <w:lang w:bidi="ar"/>
        </w:rPr>
        <w:t xml:space="preserve"> 300 </w:t>
      </w:r>
      <w:r>
        <w:rPr>
          <w:rFonts w:hint="eastAsia" w:ascii="宋体" w:hAnsi="宋体" w:cs="宋体"/>
          <w:color w:val="auto"/>
          <w:szCs w:val="21"/>
          <w:highlight w:val="none"/>
          <w:lang w:bidi="ar"/>
        </w:rPr>
        <w:t>元，售后不退。如需邮购，每本另加邮费</w:t>
      </w:r>
      <w:r>
        <w:rPr>
          <w:rFonts w:hint="eastAsia" w:ascii="宋体" w:hAnsi="宋体" w:cs="宋体"/>
          <w:color w:val="auto"/>
          <w:szCs w:val="21"/>
          <w:highlight w:val="none"/>
          <w:u w:val="single"/>
          <w:lang w:bidi="ar"/>
        </w:rPr>
        <w:t xml:space="preserve"> 50 </w:t>
      </w:r>
      <w:r>
        <w:rPr>
          <w:rFonts w:hint="eastAsia" w:ascii="宋体" w:hAnsi="宋体" w:cs="宋体"/>
          <w:color w:val="auto"/>
          <w:szCs w:val="21"/>
          <w:highlight w:val="none"/>
          <w:lang w:bidi="ar"/>
        </w:rPr>
        <w:t>元【需于获取截止时间前将工本费（邮购的另加邮费）汇到采购代理机构下述指定账号】；</w:t>
      </w:r>
      <w:r>
        <w:rPr>
          <w:rFonts w:hint="eastAsia" w:ascii="宋体" w:hAnsi="宋体" w:cs="宋体"/>
          <w:b/>
          <w:color w:val="auto"/>
          <w:szCs w:val="21"/>
          <w:highlight w:val="none"/>
          <w:lang w:bidi="ar"/>
        </w:rPr>
        <w:t>依据《国家税务总局关于增值税发票开具有关问题的公告》国家税务总局公告2017年第16号的规定，供应商在索取发票时，请提供纳税人识别号或统一社会信用代码。</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开户名称：广西国建项目管理有限公司</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开户银行：广西北部湾银行股份有限公司南宁市江南支行</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银行账号：8001 1543 5100 037</w:t>
      </w:r>
    </w:p>
    <w:p>
      <w:pPr>
        <w:spacing w:line="400" w:lineRule="exact"/>
        <w:rPr>
          <w:rFonts w:ascii="宋体" w:hAnsi="宋体" w:cs="宋体"/>
          <w:b/>
          <w:color w:val="auto"/>
          <w:highlight w:val="none"/>
        </w:rPr>
      </w:pPr>
      <w:bookmarkStart w:id="26" w:name="_Toc35393801"/>
      <w:bookmarkStart w:id="27" w:name="_Toc28359015"/>
      <w:bookmarkStart w:id="28" w:name="_Toc35393632"/>
      <w:bookmarkStart w:id="29" w:name="_Toc28359092"/>
      <w:r>
        <w:rPr>
          <w:rFonts w:hint="eastAsia" w:ascii="宋体" w:hAnsi="宋体" w:cs="宋体"/>
          <w:b/>
          <w:color w:val="auto"/>
          <w:szCs w:val="21"/>
          <w:highlight w:val="none"/>
          <w:lang w:bidi="ar"/>
        </w:rPr>
        <w:t>四、响应文件提交</w:t>
      </w:r>
      <w:bookmarkEnd w:id="26"/>
      <w:bookmarkEnd w:id="27"/>
      <w:bookmarkEnd w:id="28"/>
      <w:bookmarkEnd w:id="29"/>
    </w:p>
    <w:p>
      <w:pPr>
        <w:spacing w:line="400" w:lineRule="exact"/>
        <w:ind w:firstLine="420" w:firstLineChars="200"/>
        <w:rPr>
          <w:rFonts w:ascii="宋体" w:hAnsi="宋体" w:cs="宋体"/>
          <w:bCs/>
          <w:color w:val="auto"/>
          <w:highlight w:val="none"/>
          <w:u w:val="single"/>
        </w:rPr>
      </w:pPr>
      <w:r>
        <w:rPr>
          <w:rFonts w:hint="eastAsia" w:ascii="宋体" w:hAnsi="宋体" w:cs="宋体"/>
          <w:color w:val="auto"/>
          <w:szCs w:val="21"/>
          <w:highlight w:val="none"/>
          <w:lang w:bidi="ar"/>
        </w:rPr>
        <w:t>时间：</w:t>
      </w:r>
      <w:r>
        <w:rPr>
          <w:rFonts w:hint="eastAsia" w:ascii="宋体" w:hAnsi="宋体" w:cs="宋体"/>
          <w:b/>
          <w:bCs/>
          <w:color w:val="auto"/>
          <w:szCs w:val="21"/>
          <w:highlight w:val="none"/>
          <w:u w:val="single"/>
          <w:lang w:bidi="ar"/>
        </w:rPr>
        <w:t>2024年5月17日9点30分</w:t>
      </w:r>
      <w:r>
        <w:rPr>
          <w:rFonts w:hint="eastAsia" w:ascii="宋体" w:hAnsi="宋体" w:cs="宋体"/>
          <w:bCs/>
          <w:color w:val="auto"/>
          <w:highlight w:val="none"/>
        </w:rPr>
        <w:t>（北京时间），供应商请于</w:t>
      </w:r>
      <w:r>
        <w:rPr>
          <w:rFonts w:hint="eastAsia" w:ascii="宋体" w:hAnsi="宋体" w:cs="宋体"/>
          <w:color w:val="auto"/>
          <w:highlight w:val="none"/>
        </w:rPr>
        <w:t>响应</w:t>
      </w:r>
      <w:r>
        <w:rPr>
          <w:rFonts w:hint="eastAsia" w:ascii="宋体" w:hAnsi="宋体" w:cs="宋体"/>
          <w:bCs/>
          <w:color w:val="auto"/>
          <w:highlight w:val="none"/>
        </w:rPr>
        <w:t>文件提交截止时间前</w:t>
      </w:r>
      <w:r>
        <w:rPr>
          <w:rFonts w:hint="eastAsia" w:ascii="宋体" w:hAnsi="宋体" w:cs="宋体"/>
          <w:color w:val="auto"/>
          <w:highlight w:val="none"/>
        </w:rPr>
        <w:t>将响应文件密封递交，逾期送达或未密封的将予以拒收，</w:t>
      </w:r>
      <w:r>
        <w:rPr>
          <w:rFonts w:hint="eastAsia" w:ascii="宋体" w:hAnsi="宋体" w:cs="宋体"/>
          <w:bCs/>
          <w:color w:val="auto"/>
          <w:highlight w:val="none"/>
        </w:rPr>
        <w:t>供应商</w:t>
      </w:r>
      <w:r>
        <w:rPr>
          <w:rFonts w:hint="eastAsia" w:ascii="宋体" w:hAnsi="宋体" w:cs="宋体"/>
          <w:color w:val="auto"/>
          <w:highlight w:val="none"/>
        </w:rPr>
        <w:t>可以由法定代表人（负责人）或委托代理人出席截标会。</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地点：广西国建项目管理有限公司开标厅（广西南宁市白沙大道53号松宇时代17楼）。</w:t>
      </w:r>
    </w:p>
    <w:p>
      <w:pPr>
        <w:spacing w:line="400" w:lineRule="exact"/>
        <w:rPr>
          <w:rFonts w:ascii="宋体" w:hAnsi="宋体" w:cs="宋体"/>
          <w:b/>
          <w:color w:val="auto"/>
          <w:highlight w:val="none"/>
        </w:rPr>
      </w:pPr>
      <w:bookmarkStart w:id="30" w:name="_Toc35393802"/>
      <w:bookmarkStart w:id="31" w:name="_Toc28359016"/>
      <w:bookmarkStart w:id="32" w:name="_Toc28359093"/>
      <w:bookmarkStart w:id="33" w:name="_Toc35393633"/>
      <w:r>
        <w:rPr>
          <w:rFonts w:hint="eastAsia" w:ascii="宋体" w:hAnsi="宋体" w:cs="宋体"/>
          <w:b/>
          <w:color w:val="auto"/>
          <w:szCs w:val="21"/>
          <w:highlight w:val="none"/>
          <w:lang w:bidi="ar"/>
        </w:rPr>
        <w:t>五、</w:t>
      </w:r>
      <w:bookmarkEnd w:id="30"/>
      <w:bookmarkEnd w:id="31"/>
      <w:bookmarkEnd w:id="32"/>
      <w:bookmarkEnd w:id="33"/>
      <w:r>
        <w:rPr>
          <w:rFonts w:hint="eastAsia" w:ascii="宋体" w:hAnsi="宋体" w:cs="宋体"/>
          <w:b/>
          <w:color w:val="auto"/>
          <w:szCs w:val="21"/>
          <w:highlight w:val="none"/>
          <w:lang w:bidi="ar"/>
        </w:rPr>
        <w:t>磋商时间及地点</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1.时间：</w:t>
      </w:r>
      <w:r>
        <w:rPr>
          <w:rFonts w:hint="eastAsia" w:ascii="宋体" w:hAnsi="宋体" w:cs="宋体"/>
          <w:b/>
          <w:bCs/>
          <w:color w:val="auto"/>
          <w:szCs w:val="21"/>
          <w:highlight w:val="none"/>
          <w:u w:val="single"/>
          <w:lang w:bidi="ar"/>
        </w:rPr>
        <w:t>2024年5月17日9点30分</w:t>
      </w:r>
      <w:r>
        <w:rPr>
          <w:rFonts w:hint="eastAsia" w:ascii="宋体" w:hAnsi="宋体" w:cs="宋体"/>
          <w:color w:val="auto"/>
          <w:szCs w:val="21"/>
          <w:highlight w:val="none"/>
          <w:lang w:bidi="ar"/>
        </w:rPr>
        <w:t>（北京时间）后。</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2.地点：广西国建项目管理有限公司评标室（广西南宁市白沙大道53号松宇时代17楼）。</w:t>
      </w:r>
    </w:p>
    <w:p>
      <w:pPr>
        <w:spacing w:line="400" w:lineRule="exact"/>
        <w:rPr>
          <w:rFonts w:ascii="宋体" w:hAnsi="宋体" w:cs="宋体"/>
          <w:b/>
          <w:color w:val="auto"/>
          <w:highlight w:val="none"/>
        </w:rPr>
      </w:pPr>
      <w:bookmarkStart w:id="34" w:name="_Toc28359094"/>
      <w:bookmarkStart w:id="35" w:name="_Toc35393634"/>
      <w:bookmarkStart w:id="36" w:name="_Toc35393803"/>
      <w:bookmarkStart w:id="37" w:name="_Toc28359017"/>
      <w:r>
        <w:rPr>
          <w:rFonts w:hint="eastAsia" w:ascii="宋体" w:hAnsi="宋体" w:cs="宋体"/>
          <w:b/>
          <w:color w:val="auto"/>
          <w:szCs w:val="21"/>
          <w:highlight w:val="none"/>
          <w:lang w:bidi="ar"/>
        </w:rPr>
        <w:t>六、公告期限</w:t>
      </w:r>
      <w:bookmarkEnd w:id="34"/>
      <w:bookmarkEnd w:id="35"/>
      <w:bookmarkEnd w:id="36"/>
      <w:bookmarkEnd w:id="37"/>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自本公告发布之日起3个工作日。</w:t>
      </w:r>
    </w:p>
    <w:p>
      <w:pPr>
        <w:spacing w:line="400" w:lineRule="exact"/>
        <w:rPr>
          <w:rFonts w:ascii="宋体" w:hAnsi="宋体" w:cs="宋体"/>
          <w:b/>
          <w:color w:val="auto"/>
          <w:highlight w:val="none"/>
        </w:rPr>
      </w:pPr>
      <w:bookmarkStart w:id="38" w:name="_Toc35393635"/>
      <w:bookmarkStart w:id="39" w:name="_Toc35393804"/>
      <w:r>
        <w:rPr>
          <w:rFonts w:hint="eastAsia" w:ascii="宋体" w:hAnsi="宋体" w:cs="宋体"/>
          <w:b/>
          <w:color w:val="auto"/>
          <w:szCs w:val="21"/>
          <w:highlight w:val="none"/>
          <w:lang w:bidi="ar"/>
        </w:rPr>
        <w:t>七、其他补充事宜</w:t>
      </w:r>
      <w:bookmarkEnd w:id="38"/>
      <w:bookmarkEnd w:id="39"/>
    </w:p>
    <w:p>
      <w:pPr>
        <w:spacing w:line="400" w:lineRule="exact"/>
        <w:ind w:firstLine="420" w:firstLineChars="200"/>
        <w:rPr>
          <w:rFonts w:ascii="宋体" w:hAnsi="宋体" w:cs="宋体"/>
          <w:color w:val="auto"/>
          <w:szCs w:val="21"/>
          <w:highlight w:val="none"/>
          <w:lang w:bidi="ar"/>
        </w:rPr>
      </w:pPr>
      <w:r>
        <w:rPr>
          <w:rFonts w:hint="eastAsia" w:ascii="宋体" w:hAnsi="宋体" w:cs="宋体"/>
          <w:bCs/>
          <w:color w:val="auto"/>
          <w:szCs w:val="21"/>
          <w:highlight w:val="none"/>
          <w:lang w:bidi="ar"/>
        </w:rPr>
        <w:t>1.本项目不收取磋商保证金。</w:t>
      </w:r>
    </w:p>
    <w:p>
      <w:pPr>
        <w:spacing w:line="400" w:lineRule="exact"/>
        <w:ind w:firstLine="420" w:firstLineChars="200"/>
        <w:rPr>
          <w:rFonts w:ascii="宋体" w:hAnsi="宋体" w:cs="宋体"/>
          <w:bCs/>
          <w:color w:val="auto"/>
          <w:szCs w:val="21"/>
          <w:highlight w:val="none"/>
          <w:lang w:bidi="ar"/>
        </w:rPr>
      </w:pPr>
      <w:r>
        <w:rPr>
          <w:rFonts w:hint="eastAsia" w:ascii="宋体" w:hAnsi="宋体" w:cs="宋体"/>
          <w:bCs/>
          <w:color w:val="auto"/>
          <w:szCs w:val="21"/>
          <w:highlight w:val="none"/>
          <w:lang w:bidi="ar"/>
        </w:rPr>
        <w:t>2.公告媒体：采购与招标网（https://www.chinabidding.cn/）、广西国建项目管理有限公司网站（http://gxguojian.com/）</w:t>
      </w:r>
    </w:p>
    <w:p>
      <w:pPr>
        <w:spacing w:line="400" w:lineRule="exact"/>
        <w:rPr>
          <w:rFonts w:ascii="宋体" w:hAnsi="宋体" w:cs="宋体"/>
          <w:b/>
          <w:color w:val="auto"/>
          <w:highlight w:val="none"/>
        </w:rPr>
      </w:pPr>
      <w:r>
        <w:rPr>
          <w:rFonts w:hint="eastAsia" w:ascii="宋体" w:hAnsi="宋体" w:cs="宋体"/>
          <w:b/>
          <w:color w:val="auto"/>
          <w:szCs w:val="21"/>
          <w:highlight w:val="none"/>
          <w:lang w:bidi="ar"/>
        </w:rPr>
        <w:t>八、对本次招标提出询问，请按以下方式联系。</w:t>
      </w:r>
    </w:p>
    <w:p>
      <w:pPr>
        <w:widowControl/>
        <w:spacing w:line="4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lang w:bidi="ar"/>
        </w:rPr>
        <w:t>1.采购人信息</w:t>
      </w:r>
    </w:p>
    <w:p>
      <w:pPr>
        <w:spacing w:line="400" w:lineRule="exact"/>
        <w:ind w:firstLine="630" w:firstLineChars="300"/>
        <w:jc w:val="left"/>
        <w:rPr>
          <w:rFonts w:ascii="宋体" w:hAnsi="宋体" w:cs="宋体"/>
          <w:color w:val="auto"/>
          <w:highlight w:val="none"/>
        </w:rPr>
      </w:pPr>
      <w:r>
        <w:rPr>
          <w:rFonts w:hint="eastAsia" w:ascii="宋体" w:hAnsi="宋体" w:cs="宋体"/>
          <w:color w:val="auto"/>
          <w:szCs w:val="21"/>
          <w:highlight w:val="none"/>
          <w:lang w:bidi="ar"/>
        </w:rPr>
        <w:t>名 称：南宁市军队离休退休干部望州路休养所</w:t>
      </w:r>
    </w:p>
    <w:p>
      <w:pPr>
        <w:spacing w:line="400" w:lineRule="exact"/>
        <w:ind w:firstLine="630" w:firstLineChars="300"/>
        <w:jc w:val="left"/>
        <w:rPr>
          <w:rFonts w:ascii="宋体" w:hAnsi="宋体" w:cs="宋体"/>
          <w:color w:val="auto"/>
          <w:highlight w:val="none"/>
        </w:rPr>
      </w:pPr>
      <w:r>
        <w:rPr>
          <w:rFonts w:hint="eastAsia" w:ascii="宋体" w:hAnsi="宋体" w:cs="宋体"/>
          <w:color w:val="auto"/>
          <w:szCs w:val="21"/>
          <w:highlight w:val="none"/>
          <w:lang w:bidi="ar"/>
        </w:rPr>
        <w:t>地 址：南宁市兴宁区望州南路132号</w:t>
      </w:r>
    </w:p>
    <w:p>
      <w:pPr>
        <w:spacing w:line="400" w:lineRule="exact"/>
        <w:ind w:firstLine="630" w:firstLineChars="300"/>
        <w:jc w:val="left"/>
        <w:rPr>
          <w:rFonts w:ascii="宋体" w:hAnsi="宋体" w:cs="宋体"/>
          <w:color w:val="auto"/>
          <w:highlight w:val="none"/>
        </w:rPr>
      </w:pPr>
      <w:r>
        <w:rPr>
          <w:rFonts w:hint="eastAsia" w:ascii="宋体" w:hAnsi="宋体" w:cs="宋体"/>
          <w:color w:val="auto"/>
          <w:szCs w:val="21"/>
          <w:highlight w:val="none"/>
          <w:lang w:bidi="ar"/>
        </w:rPr>
        <w:t>联系人及联系方式：</w:t>
      </w:r>
      <w:bookmarkStart w:id="40" w:name="_Toc28359086"/>
      <w:bookmarkStart w:id="41" w:name="_Toc28359009"/>
      <w:r>
        <w:rPr>
          <w:rFonts w:hint="eastAsia"/>
          <w:color w:val="auto"/>
          <w:highlight w:val="none"/>
        </w:rPr>
        <w:t>邓碧娴 0771-</w:t>
      </w:r>
      <w:r>
        <w:rPr>
          <w:color w:val="auto"/>
          <w:highlight w:val="none"/>
        </w:rPr>
        <w:t>5614580</w:t>
      </w:r>
    </w:p>
    <w:p>
      <w:pPr>
        <w:spacing w:line="4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lang w:bidi="ar"/>
        </w:rPr>
        <w:t>2.采购代理机构信息</w:t>
      </w:r>
      <w:bookmarkEnd w:id="40"/>
      <w:bookmarkEnd w:id="41"/>
    </w:p>
    <w:p>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名 称：广西国建项目管理有限公司</w:t>
      </w:r>
    </w:p>
    <w:p>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地 址：广西南宁市白沙大道53号松宇时代17楼</w:t>
      </w:r>
    </w:p>
    <w:p>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联系方式：</w:t>
      </w:r>
      <w:bookmarkStart w:id="42" w:name="_Toc28359010"/>
      <w:bookmarkStart w:id="43" w:name="_Toc28359087"/>
      <w:r>
        <w:rPr>
          <w:rFonts w:hint="eastAsia" w:ascii="宋体" w:hAnsi="宋体" w:cs="宋体"/>
          <w:color w:val="auto"/>
          <w:szCs w:val="21"/>
          <w:highlight w:val="none"/>
          <w:lang w:bidi="ar"/>
        </w:rPr>
        <w:t>0771-4915533</w:t>
      </w:r>
    </w:p>
    <w:bookmarkEnd w:id="42"/>
    <w:bookmarkEnd w:id="43"/>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lang w:bidi="ar"/>
        </w:rPr>
        <w:t>3.项目联系方式</w:t>
      </w:r>
    </w:p>
    <w:p>
      <w:pPr>
        <w:spacing w:line="400" w:lineRule="exact"/>
        <w:ind w:firstLine="630" w:firstLineChars="300"/>
        <w:rPr>
          <w:rFonts w:ascii="宋体" w:hAnsi="宋体" w:cs="宋体"/>
          <w:color w:val="auto"/>
          <w:highlight w:val="none"/>
        </w:rPr>
      </w:pPr>
      <w:r>
        <w:rPr>
          <w:rFonts w:hint="eastAsia" w:ascii="宋体" w:hAnsi="宋体" w:cs="宋体"/>
          <w:color w:val="auto"/>
          <w:highlight w:val="none"/>
        </w:rPr>
        <w:t>项目联系人：巫春丽</w:t>
      </w:r>
    </w:p>
    <w:p>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电 话：0771-4915533</w:t>
      </w:r>
    </w:p>
    <w:p>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购买招标文件联系人：张艳芬   联系电话：0771-4915599</w:t>
      </w:r>
    </w:p>
    <w:p>
      <w:pPr>
        <w:spacing w:line="400" w:lineRule="exact"/>
        <w:ind w:firstLine="630" w:firstLineChars="300"/>
        <w:rPr>
          <w:rFonts w:ascii="宋体" w:hAnsi="宋体" w:cs="宋体"/>
          <w:color w:val="auto"/>
          <w:highlight w:val="none"/>
        </w:rPr>
      </w:pPr>
      <w:r>
        <w:rPr>
          <w:rFonts w:hint="eastAsia" w:ascii="宋体" w:hAnsi="宋体" w:cs="宋体"/>
          <w:color w:val="auto"/>
          <w:szCs w:val="21"/>
          <w:highlight w:val="none"/>
          <w:lang w:bidi="ar"/>
        </w:rPr>
        <w:t>保证金退付联系人：张艳芬    联系电话：0771-4915599</w:t>
      </w:r>
    </w:p>
    <w:p>
      <w:pPr>
        <w:spacing w:line="400" w:lineRule="exact"/>
        <w:ind w:firstLine="630" w:firstLineChars="300"/>
        <w:rPr>
          <w:rFonts w:ascii="宋体" w:hAnsi="宋体" w:cs="宋体"/>
          <w:color w:val="auto"/>
          <w:szCs w:val="21"/>
          <w:highlight w:val="none"/>
          <w:lang w:bidi="ar"/>
        </w:rPr>
      </w:pPr>
      <w:r>
        <w:rPr>
          <w:rFonts w:hint="eastAsia" w:ascii="宋体" w:hAnsi="宋体" w:cs="宋体"/>
          <w:color w:val="auto"/>
          <w:szCs w:val="21"/>
          <w:highlight w:val="none"/>
          <w:lang w:bidi="ar"/>
        </w:rPr>
        <w:t>公司邮箱：gxguojian@126.com     邮编：530000</w:t>
      </w:r>
    </w:p>
    <w:p>
      <w:pPr>
        <w:spacing w:after="120"/>
        <w:rPr>
          <w:color w:val="auto"/>
          <w:highlight w:val="none"/>
          <w:lang w:bidi="ar"/>
        </w:rPr>
      </w:pPr>
    </w:p>
    <w:p>
      <w:pPr>
        <w:snapToGrid w:val="0"/>
        <w:spacing w:line="400" w:lineRule="exact"/>
        <w:ind w:left="238"/>
        <w:jc w:val="right"/>
        <w:rPr>
          <w:rFonts w:ascii="宋体" w:hAnsi="宋体" w:cs="宋体"/>
          <w:color w:val="auto"/>
          <w:highlight w:val="none"/>
        </w:rPr>
      </w:pPr>
      <w:r>
        <w:rPr>
          <w:rFonts w:hint="eastAsia" w:ascii="宋体" w:hAnsi="宋体" w:cs="宋体"/>
          <w:color w:val="auto"/>
          <w:szCs w:val="21"/>
          <w:highlight w:val="none"/>
          <w:lang w:bidi="ar"/>
        </w:rPr>
        <w:t>广西国建项目管理有限公司</w:t>
      </w:r>
    </w:p>
    <w:p>
      <w:pPr>
        <w:jc w:val="right"/>
        <w:rPr>
          <w:rFonts w:ascii="宋体" w:hAnsi="宋体" w:cs="宋体"/>
          <w:b/>
          <w:color w:val="auto"/>
          <w:sz w:val="32"/>
          <w:szCs w:val="32"/>
          <w:highlight w:val="none"/>
        </w:rPr>
      </w:pPr>
      <w:r>
        <w:rPr>
          <w:rFonts w:hint="eastAsia" w:ascii="宋体" w:hAnsi="宋体" w:cs="宋体"/>
          <w:color w:val="auto"/>
          <w:szCs w:val="21"/>
          <w:highlight w:val="none"/>
          <w:lang w:bidi="ar"/>
        </w:rPr>
        <w:t>2024年5月6日</w:t>
      </w:r>
      <w:r>
        <w:rPr>
          <w:rFonts w:hint="eastAsia" w:ascii="宋体" w:hAnsi="宋体" w:cs="宋体"/>
          <w:color w:val="auto"/>
          <w:sz w:val="24"/>
          <w:highlight w:val="none"/>
          <w:lang w:bidi="ar"/>
        </w:rPr>
        <w:t xml:space="preserve"> </w:t>
      </w: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rPr>
          <w:rFonts w:ascii="宋体" w:hAnsi="宋体" w:cs="宋体"/>
          <w:b/>
          <w:color w:val="auto"/>
          <w:sz w:val="32"/>
          <w:szCs w:val="32"/>
          <w:highlight w:val="none"/>
        </w:rPr>
      </w:pPr>
    </w:p>
    <w:p>
      <w:pPr>
        <w:pStyle w:val="36"/>
        <w:rPr>
          <w:rFonts w:ascii="宋体" w:hAnsi="宋体" w:cs="宋体"/>
          <w:color w:val="auto"/>
          <w:sz w:val="44"/>
          <w:szCs w:val="44"/>
          <w:highlight w:val="none"/>
        </w:rPr>
      </w:pPr>
      <w:bookmarkStart w:id="44" w:name="_Toc476258757"/>
      <w:bookmarkStart w:id="45" w:name="_Toc476258663"/>
      <w:r>
        <w:rPr>
          <w:rFonts w:hint="eastAsia" w:ascii="宋体" w:hAnsi="宋体" w:cs="宋体"/>
          <w:color w:val="auto"/>
          <w:sz w:val="44"/>
          <w:szCs w:val="44"/>
          <w:highlight w:val="none"/>
        </w:rPr>
        <w:t>第二章  磋商供应商须知</w:t>
      </w:r>
      <w:bookmarkEnd w:id="44"/>
      <w:bookmarkEnd w:id="45"/>
    </w:p>
    <w:p>
      <w:pPr>
        <w:spacing w:line="72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24"/>
              <w:spacing w:line="400" w:lineRule="exact"/>
              <w:jc w:val="center"/>
              <w:rPr>
                <w:rFonts w:hAnsi="宋体" w:cs="宋体"/>
                <w:color w:val="auto"/>
                <w:highlight w:val="none"/>
              </w:rPr>
            </w:pPr>
            <w:r>
              <w:rPr>
                <w:rFonts w:hint="eastAsia" w:hAnsi="宋体" w:cs="宋体"/>
                <w:color w:val="auto"/>
                <w:highlight w:val="none"/>
              </w:rPr>
              <w:t>序号</w:t>
            </w:r>
          </w:p>
        </w:tc>
        <w:tc>
          <w:tcPr>
            <w:tcW w:w="9020" w:type="dxa"/>
          </w:tcPr>
          <w:p>
            <w:pPr>
              <w:pStyle w:val="124"/>
              <w:spacing w:line="400" w:lineRule="exact"/>
              <w:jc w:val="center"/>
              <w:rPr>
                <w:rFonts w:hAnsi="宋体" w:cs="宋体"/>
                <w:color w:val="auto"/>
                <w:highlight w:val="none"/>
              </w:rPr>
            </w:pPr>
            <w:r>
              <w:rPr>
                <w:rFonts w:hint="eastAsia" w:hAnsi="宋体" w:cs="宋体"/>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bCs/>
                <w:color w:val="auto"/>
                <w:szCs w:val="21"/>
                <w:highlight w:val="none"/>
              </w:rPr>
            </w:pPr>
            <w:r>
              <w:rPr>
                <w:rFonts w:hint="eastAsia" w:hAnsi="宋体" w:cs="宋体"/>
                <w:color w:val="auto"/>
                <w:highlight w:val="none"/>
              </w:rPr>
              <w:t>采购项目名称：南宁市望州路军休所军休干部2024年健康疗养</w:t>
            </w:r>
          </w:p>
          <w:p>
            <w:pPr>
              <w:pStyle w:val="124"/>
              <w:spacing w:line="390" w:lineRule="exact"/>
              <w:rPr>
                <w:rFonts w:hAnsi="宋体" w:cs="宋体"/>
                <w:bCs/>
                <w:color w:val="auto"/>
                <w:szCs w:val="21"/>
                <w:highlight w:val="none"/>
              </w:rPr>
            </w:pPr>
            <w:r>
              <w:rPr>
                <w:rFonts w:hint="eastAsia" w:hAnsi="宋体" w:cs="宋体"/>
                <w:color w:val="auto"/>
                <w:highlight w:val="none"/>
              </w:rPr>
              <w:t>采购项目编号：GXGJ2024-C0070-S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22"/>
              <w:spacing w:line="390" w:lineRule="exact"/>
              <w:rPr>
                <w:rFonts w:hAnsi="宋体" w:cs="宋体"/>
                <w:color w:val="auto"/>
                <w:highlight w:val="none"/>
              </w:rPr>
            </w:pPr>
            <w:r>
              <w:rPr>
                <w:rFonts w:hint="eastAsia" w:hAnsi="宋体" w:cs="宋体"/>
                <w:color w:val="auto"/>
                <w:highlight w:val="none"/>
              </w:rPr>
              <w:t>供应商资格：详见磋商公告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spacing w:line="390" w:lineRule="exact"/>
              <w:rPr>
                <w:rFonts w:ascii="宋体" w:hAnsi="宋体" w:cs="宋体"/>
                <w:color w:val="auto"/>
                <w:szCs w:val="21"/>
                <w:highlight w:val="none"/>
              </w:rPr>
            </w:pPr>
            <w:r>
              <w:rPr>
                <w:rFonts w:hint="eastAsia" w:ascii="宋体" w:hAnsi="宋体" w:cs="宋体"/>
                <w:color w:val="auto"/>
                <w:highlight w:val="none"/>
              </w:rPr>
              <w:t>磋商报价：供应商必须就所竞项目的全部内容作完整唯一报价，漏项报价的或有选择的或有条件的报价，其响应文件将视为无效。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spacing w:line="390" w:lineRule="exact"/>
              <w:rPr>
                <w:rFonts w:ascii="宋体" w:hAnsi="宋体" w:cs="宋体"/>
                <w:color w:val="auto"/>
                <w:highlight w:val="none"/>
              </w:rPr>
            </w:pPr>
            <w:r>
              <w:rPr>
                <w:rFonts w:hint="eastAsia" w:ascii="宋体" w:hAnsi="宋体" w:cs="宋体"/>
                <w:color w:val="auto"/>
                <w:highlight w:val="none"/>
              </w:rPr>
              <w:t>成交服务费：本项目的成交服务费按本须知21.1款规定计取，由成交供应商在签订合同前，一次性向采购代理机构支付。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22"/>
              <w:spacing w:line="390" w:lineRule="exact"/>
              <w:rPr>
                <w:rFonts w:hAnsi="宋体" w:cs="宋体"/>
                <w:color w:val="auto"/>
                <w:highlight w:val="none"/>
              </w:rPr>
            </w:pPr>
            <w:r>
              <w:rPr>
                <w:rFonts w:hint="eastAsia" w:hAnsi="宋体" w:cs="宋体"/>
                <w:color w:val="auto"/>
                <w:highlight w:val="none"/>
              </w:rPr>
              <w:t>响应文件份数：正本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w:t>
            </w:r>
          </w:p>
          <w:p>
            <w:pPr>
              <w:pStyle w:val="22"/>
              <w:spacing w:line="390" w:lineRule="exact"/>
              <w:rPr>
                <w:rFonts w:hAnsi="宋体" w:cs="宋体"/>
                <w:color w:val="auto"/>
                <w:highlight w:val="none"/>
              </w:rPr>
            </w:pPr>
            <w:r>
              <w:rPr>
                <w:rFonts w:hint="eastAsia" w:hAnsi="宋体" w:cs="宋体"/>
                <w:color w:val="auto"/>
                <w:highlight w:val="none"/>
              </w:rPr>
              <w:t>1、响应文件电子版份数：1份。</w:t>
            </w:r>
          </w:p>
          <w:p>
            <w:pPr>
              <w:pStyle w:val="22"/>
              <w:spacing w:line="390" w:lineRule="exact"/>
              <w:rPr>
                <w:rFonts w:hAnsi="宋体" w:cs="宋体"/>
                <w:color w:val="auto"/>
                <w:highlight w:val="none"/>
              </w:rPr>
            </w:pPr>
            <w:r>
              <w:rPr>
                <w:rFonts w:hint="eastAsia" w:hAnsi="宋体" w:cs="宋体"/>
                <w:color w:val="auto"/>
                <w:highlight w:val="none"/>
              </w:rPr>
              <w:t>2、响应文件电子版形式：可编辑的word文档格式。</w:t>
            </w:r>
          </w:p>
          <w:p>
            <w:pPr>
              <w:pStyle w:val="22"/>
              <w:spacing w:line="390" w:lineRule="exact"/>
              <w:rPr>
                <w:rFonts w:hAnsi="宋体" w:cs="宋体"/>
                <w:color w:val="auto"/>
                <w:highlight w:val="none"/>
              </w:rPr>
            </w:pPr>
            <w:r>
              <w:rPr>
                <w:rFonts w:hint="eastAsia" w:hAnsi="宋体" w:cs="宋体"/>
                <w:color w:val="auto"/>
                <w:highlight w:val="none"/>
              </w:rPr>
              <w:t>3、响应文件电子版密封方式：将响应文件电子版U盘与纸质版响应文件一并装入响应文件袋中。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详见磋商公告</w:t>
            </w:r>
          </w:p>
          <w:p>
            <w:pPr>
              <w:pStyle w:val="22"/>
              <w:spacing w:line="390" w:lineRule="exact"/>
              <w:rPr>
                <w:rFonts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color w:val="auto"/>
                <w:highlight w:val="none"/>
              </w:rPr>
            </w:pPr>
            <w:r>
              <w:rPr>
                <w:rFonts w:hint="eastAsia" w:hAnsi="宋体" w:cs="宋体"/>
                <w:color w:val="auto"/>
                <w:highlight w:val="none"/>
              </w:rPr>
              <w:t>竞争性磋商响应文件有效期：响应文件递交截止日期后六十日。</w:t>
            </w:r>
          </w:p>
          <w:p>
            <w:pPr>
              <w:pStyle w:val="22"/>
              <w:spacing w:line="390" w:lineRule="exact"/>
              <w:rPr>
                <w:rFonts w:hAnsi="宋体" w:cs="宋体"/>
                <w:color w:val="auto"/>
                <w:highlight w:val="none"/>
              </w:rPr>
            </w:pPr>
            <w:r>
              <w:rPr>
                <w:rFonts w:hint="eastAsia" w:hAnsi="宋体" w:cs="宋体"/>
                <w:color w:val="auto"/>
                <w:highlight w:val="none"/>
              </w:rPr>
              <w:t>1、未成交的响应文件有效期内均应保持有效。</w:t>
            </w:r>
          </w:p>
          <w:p>
            <w:pPr>
              <w:pStyle w:val="22"/>
              <w:spacing w:line="390" w:lineRule="exact"/>
              <w:rPr>
                <w:rFonts w:hAnsi="宋体" w:cs="宋体"/>
                <w:color w:val="auto"/>
                <w:highlight w:val="none"/>
              </w:rPr>
            </w:pPr>
            <w:r>
              <w:rPr>
                <w:rFonts w:hint="eastAsia" w:hAnsi="宋体" w:cs="宋体"/>
                <w:color w:val="auto"/>
                <w:highlight w:val="none"/>
              </w:rPr>
              <w:t>2、成交供应商的响应文件有效期自响应文件提交截止之日起至合同履行完毕止均应保持有效。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磋商保证金金额：详见磋商公告；</w:t>
            </w:r>
          </w:p>
          <w:p>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磋商保证金缴纳方式：详见磋商公告；</w:t>
            </w:r>
          </w:p>
          <w:p>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磋商保证金指定账户：详见磋商公告；</w:t>
            </w:r>
          </w:p>
          <w:p>
            <w:pPr>
              <w:snapToGrid w:val="0"/>
              <w:spacing w:line="360" w:lineRule="exact"/>
              <w:rPr>
                <w:rFonts w:ascii="宋体" w:hAnsi="宋体" w:cs="宋体"/>
                <w:color w:val="auto"/>
                <w:highlight w:val="none"/>
              </w:rPr>
            </w:pPr>
            <w:r>
              <w:rPr>
                <w:rFonts w:hint="eastAsia" w:ascii="宋体" w:hAnsi="宋体" w:cs="宋体"/>
                <w:color w:val="auto"/>
                <w:highlight w:val="none"/>
              </w:rPr>
              <w:t>一、</w:t>
            </w:r>
            <w:r>
              <w:rPr>
                <w:rFonts w:hint="eastAsia" w:ascii="宋体" w:hAnsi="宋体" w:cs="宋体"/>
                <w:color w:val="auto"/>
                <w:szCs w:val="21"/>
                <w:highlight w:val="none"/>
              </w:rPr>
              <w:t>磋商保证金缴纳</w:t>
            </w:r>
            <w:r>
              <w:rPr>
                <w:rFonts w:hint="eastAsia" w:ascii="宋体" w:hAnsi="宋体" w:cs="宋体"/>
                <w:color w:val="auto"/>
                <w:highlight w:val="none"/>
              </w:rPr>
              <w:t>相关要求：</w:t>
            </w:r>
          </w:p>
          <w:p>
            <w:pPr>
              <w:snapToGrid w:val="0"/>
              <w:spacing w:line="360" w:lineRule="exact"/>
              <w:rPr>
                <w:rFonts w:ascii="宋体" w:hAnsi="宋体" w:cs="宋体"/>
                <w:color w:val="auto"/>
                <w:highlight w:val="none"/>
              </w:rPr>
            </w:pPr>
            <w:r>
              <w:rPr>
                <w:rFonts w:hint="eastAsia" w:ascii="宋体" w:hAnsi="宋体" w:cs="宋体"/>
                <w:color w:val="auto"/>
                <w:highlight w:val="none"/>
              </w:rPr>
              <w:t>1、磋商保证金采用</w:t>
            </w:r>
            <w:r>
              <w:rPr>
                <w:rFonts w:hint="eastAsia" w:ascii="宋体" w:hAnsi="宋体" w:cs="宋体"/>
                <w:bCs/>
                <w:color w:val="auto"/>
                <w:szCs w:val="21"/>
                <w:highlight w:val="none"/>
                <w:lang w:bidi="ar"/>
              </w:rPr>
              <w:t>银行转账、电汇、网上支付</w:t>
            </w:r>
            <w:r>
              <w:rPr>
                <w:rFonts w:hint="eastAsia" w:ascii="宋体" w:hAnsi="宋体" w:cs="宋体"/>
                <w:color w:val="auto"/>
                <w:highlight w:val="none"/>
              </w:rPr>
              <w:t>方式提交的，在响应文件提交截止时间前交至采购代理机构指定账户并且到账，供应商应将转账汇款凭证的复印件作为磋商保证金提交证明，放置于响应文件中，否则响应文件作无效处理。</w:t>
            </w:r>
          </w:p>
          <w:p>
            <w:pPr>
              <w:snapToGrid w:val="0"/>
              <w:spacing w:line="360" w:lineRule="exact"/>
              <w:rPr>
                <w:rFonts w:ascii="宋体" w:hAnsi="宋体" w:cs="宋体"/>
                <w:color w:val="auto"/>
                <w:highlight w:val="none"/>
              </w:rPr>
            </w:pPr>
            <w:r>
              <w:rPr>
                <w:rFonts w:hint="eastAsia" w:ascii="宋体" w:hAnsi="宋体" w:cs="宋体"/>
                <w:color w:val="auto"/>
                <w:highlight w:val="none"/>
              </w:rPr>
              <w:t>2、供应商为联合体的，可以由联合体中的一方或者多方共同交纳磋商保证金，其交纳的保证金对联合体各方均具有约束力。</w:t>
            </w:r>
          </w:p>
          <w:p>
            <w:pPr>
              <w:snapToGrid w:val="0"/>
              <w:spacing w:line="360" w:lineRule="exact"/>
              <w:rPr>
                <w:rFonts w:ascii="宋体" w:hAnsi="宋体" w:cs="宋体"/>
                <w:color w:val="auto"/>
                <w:highlight w:val="none"/>
              </w:rPr>
            </w:pPr>
            <w:r>
              <w:rPr>
                <w:rFonts w:hint="eastAsia" w:ascii="宋体" w:hAnsi="宋体" w:cs="宋体"/>
                <w:color w:val="auto"/>
                <w:highlight w:val="none"/>
              </w:rPr>
              <w:t>备注：</w:t>
            </w:r>
          </w:p>
          <w:p>
            <w:pPr>
              <w:snapToGrid w:val="0"/>
              <w:spacing w:line="360" w:lineRule="exact"/>
              <w:rPr>
                <w:rFonts w:ascii="宋体" w:hAnsi="宋体" w:cs="宋体"/>
                <w:color w:val="auto"/>
                <w:highlight w:val="none"/>
              </w:rPr>
            </w:pPr>
            <w:r>
              <w:rPr>
                <w:rFonts w:hint="eastAsia" w:ascii="宋体" w:hAnsi="宋体" w:cs="宋体"/>
                <w:color w:val="auto"/>
                <w:highlight w:val="none"/>
              </w:rPr>
              <w:t>1、响应文件提交截止时间后提交的，或未足额交纳的，视为无效磋商保证金。</w:t>
            </w:r>
          </w:p>
          <w:p>
            <w:pPr>
              <w:snapToGrid w:val="0"/>
              <w:spacing w:line="360" w:lineRule="exact"/>
              <w:rPr>
                <w:rFonts w:ascii="宋体" w:hAnsi="宋体" w:cs="宋体"/>
                <w:color w:val="auto"/>
                <w:highlight w:val="none"/>
              </w:rPr>
            </w:pPr>
            <w:r>
              <w:rPr>
                <w:rFonts w:hint="eastAsia" w:ascii="宋体" w:hAnsi="宋体" w:cs="宋体"/>
                <w:color w:val="auto"/>
                <w:highlight w:val="none"/>
              </w:rPr>
              <w:t>2、供应商采用现钞方式或从个人账户（自然人投标除外）转出的磋商保证金，视为无效磋商保证金。</w:t>
            </w:r>
          </w:p>
          <w:p>
            <w:pPr>
              <w:snapToGrid w:val="0"/>
              <w:spacing w:line="360" w:lineRule="exact"/>
              <w:rPr>
                <w:rFonts w:ascii="宋体" w:hAnsi="宋体" w:cs="宋体"/>
                <w:color w:val="auto"/>
                <w:highlight w:val="none"/>
              </w:rPr>
            </w:pPr>
            <w:r>
              <w:rPr>
                <w:rFonts w:hint="eastAsia" w:ascii="宋体" w:hAnsi="宋体" w:cs="宋体"/>
                <w:color w:val="auto"/>
                <w:highlight w:val="none"/>
              </w:rPr>
              <w:t>二、磋商保证金退还：</w:t>
            </w:r>
          </w:p>
          <w:p>
            <w:pPr>
              <w:snapToGrid w:val="0"/>
              <w:spacing w:line="360" w:lineRule="exact"/>
              <w:rPr>
                <w:rFonts w:ascii="宋体" w:hAnsi="宋体" w:cs="宋体"/>
                <w:color w:val="auto"/>
                <w:highlight w:val="none"/>
              </w:rPr>
            </w:pPr>
            <w:r>
              <w:rPr>
                <w:rFonts w:hint="eastAsia" w:ascii="宋体" w:hAnsi="宋体" w:cs="宋体"/>
                <w:color w:val="auto"/>
                <w:highlight w:val="none"/>
              </w:rPr>
              <w:t>1、未成交人的磋商保证金自成交通知书发出之日起5个工作日内，以转账方式退回到供应商银行账户。</w:t>
            </w:r>
          </w:p>
          <w:p>
            <w:pPr>
              <w:snapToGrid w:val="0"/>
              <w:spacing w:line="360" w:lineRule="exact"/>
              <w:rPr>
                <w:rFonts w:ascii="宋体" w:hAnsi="宋体" w:cs="宋体"/>
                <w:color w:val="auto"/>
                <w:highlight w:val="none"/>
              </w:rPr>
            </w:pPr>
            <w:r>
              <w:rPr>
                <w:rFonts w:hint="eastAsia" w:ascii="宋体" w:hAnsi="宋体" w:cs="宋体"/>
                <w:color w:val="auto"/>
                <w:highlight w:val="none"/>
              </w:rPr>
              <w:t>2、成交人的磋商保证金自合同签订并送达采购代理机构存档后5个工作日内退还，退还方式同未成交人退还方式。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bCs/>
                <w:color w:val="auto"/>
                <w:highlight w:val="none"/>
              </w:rPr>
            </w:pPr>
            <w:r>
              <w:rPr>
                <w:rFonts w:hint="eastAsia" w:hAnsi="宋体" w:cs="宋体"/>
                <w:bCs/>
                <w:color w:val="auto"/>
                <w:highlight w:val="none"/>
              </w:rPr>
              <w:t>磋商时间：</w:t>
            </w:r>
            <w:r>
              <w:rPr>
                <w:rFonts w:hint="eastAsia" w:hAnsi="宋体" w:cs="宋体"/>
                <w:color w:val="auto"/>
                <w:szCs w:val="21"/>
                <w:highlight w:val="none"/>
                <w:u w:val="single"/>
              </w:rPr>
              <w:t>详见磋商公告</w:t>
            </w:r>
          </w:p>
          <w:p>
            <w:pPr>
              <w:pStyle w:val="124"/>
              <w:spacing w:line="390" w:lineRule="exact"/>
              <w:rPr>
                <w:rFonts w:hAnsi="宋体" w:cs="宋体"/>
                <w:color w:val="auto"/>
                <w:highlight w:val="none"/>
              </w:rPr>
            </w:pPr>
            <w:r>
              <w:rPr>
                <w:rFonts w:hint="eastAsia" w:hAnsi="宋体" w:cs="宋体"/>
                <w:bCs/>
                <w:color w:val="auto"/>
                <w:highlight w:val="none"/>
              </w:rPr>
              <w:t>磋商地点：</w:t>
            </w:r>
            <w:r>
              <w:rPr>
                <w:rFonts w:hint="eastAsia" w:hAnsi="宋体" w:cs="宋体"/>
                <w:color w:val="auto"/>
                <w:highlight w:val="none"/>
                <w:u w:val="single"/>
              </w:rPr>
              <w:t>详见磋商公告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color w:val="auto"/>
                <w:highlight w:val="none"/>
              </w:rPr>
            </w:pPr>
            <w:r>
              <w:rPr>
                <w:rFonts w:hint="eastAsia" w:hAnsi="宋体" w:cs="宋体"/>
                <w:color w:val="auto"/>
                <w:highlight w:val="none"/>
              </w:rPr>
              <w:t>评标方法：综合评分法（详细见第六章）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采购人或采购代理机构在对供应商资格审查时进行信用查询</w:t>
            </w:r>
          </w:p>
          <w:p>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p>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查询起止时间：2021年1月1日起至提交响应文件截止时间前。</w:t>
            </w:r>
          </w:p>
          <w:p>
            <w:pPr>
              <w:autoSpaceDE w:val="0"/>
              <w:autoSpaceDN w:val="0"/>
              <w:snapToGrid w:val="0"/>
              <w:spacing w:line="350" w:lineRule="atLeast"/>
              <w:textAlignment w:val="bottom"/>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pPr>
              <w:pStyle w:val="124"/>
              <w:spacing w:line="390" w:lineRule="exact"/>
              <w:rPr>
                <w:rFonts w:hAnsi="宋体" w:cs="宋体"/>
                <w:color w:val="auto"/>
                <w:highlight w:val="none"/>
              </w:rPr>
            </w:pPr>
            <w:r>
              <w:rPr>
                <w:rFonts w:hint="eastAsia" w:hAnsi="宋体" w:cs="宋体"/>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widowControl/>
              <w:rPr>
                <w:rFonts w:ascii="宋体" w:hAnsi="宋体" w:cs="宋体"/>
                <w:color w:val="auto"/>
                <w:kern w:val="0"/>
                <w:sz w:val="24"/>
                <w:highlight w:val="none"/>
              </w:rPr>
            </w:pPr>
            <w:r>
              <w:rPr>
                <w:rFonts w:ascii="宋体" w:hAnsi="宋体" w:cs="宋体"/>
                <w:color w:val="auto"/>
                <w:highlight w:val="none"/>
              </w:rPr>
              <w:t>1</w:t>
            </w:r>
            <w:r>
              <w:rPr>
                <w:rFonts w:hint="eastAsia" w:ascii="宋体" w:hAnsi="宋体" w:cs="宋体"/>
                <w:color w:val="auto"/>
                <w:highlight w:val="none"/>
              </w:rPr>
              <w:t>、履约保证金金额：</w:t>
            </w:r>
            <w:r>
              <w:rPr>
                <w:rFonts w:hint="eastAsia" w:ascii="宋体" w:hAnsi="宋体"/>
                <w:bCs/>
                <w:color w:val="auto"/>
                <w:highlight w:val="none"/>
              </w:rPr>
              <w:t>本项目不收取履约保证金</w:t>
            </w:r>
          </w:p>
          <w:p>
            <w:pPr>
              <w:pStyle w:val="124"/>
              <w:spacing w:line="390" w:lineRule="exact"/>
              <w:rPr>
                <w:rFonts w:hAnsi="宋体" w:cs="宋体"/>
                <w:color w:val="auto"/>
                <w:highlight w:val="none"/>
              </w:rPr>
            </w:pPr>
            <w:r>
              <w:rPr>
                <w:rFonts w:hint="eastAsia" w:hAnsi="宋体" w:cs="宋体"/>
                <w:color w:val="auto"/>
                <w:highlight w:val="none"/>
              </w:rPr>
              <w:t>履约保证金递交方式：</w:t>
            </w:r>
            <w:r>
              <w:rPr>
                <w:rFonts w:hint="eastAsia" w:hAnsi="宋体" w:cs="宋体"/>
                <w:color w:val="auto"/>
                <w:szCs w:val="21"/>
                <w:highlight w:val="none"/>
              </w:rPr>
              <w:t>允许竞标人自主选择以转账、电汇、支票、汇票、本票、保函、保险单等非现金形式缴纳或提交。</w:t>
            </w:r>
          </w:p>
          <w:p>
            <w:pPr>
              <w:pStyle w:val="124"/>
              <w:spacing w:line="390" w:lineRule="exact"/>
              <w:rPr>
                <w:rFonts w:hAnsi="宋体" w:cs="宋体"/>
                <w:color w:val="auto"/>
                <w:highlight w:val="none"/>
              </w:rPr>
            </w:pPr>
            <w:r>
              <w:rPr>
                <w:rFonts w:hint="eastAsia" w:hAnsi="宋体" w:cs="宋体"/>
                <w:color w:val="auto"/>
                <w:highlight w:val="none"/>
              </w:rPr>
              <w:t>保证金指定账户：</w:t>
            </w:r>
          </w:p>
          <w:p>
            <w:pPr>
              <w:pStyle w:val="124"/>
              <w:spacing w:line="390" w:lineRule="exact"/>
              <w:rPr>
                <w:rFonts w:hAnsi="宋体" w:cs="宋体"/>
                <w:color w:val="auto"/>
                <w:highlight w:val="none"/>
              </w:rPr>
            </w:pPr>
            <w:r>
              <w:rPr>
                <w:rFonts w:hint="eastAsia" w:hAnsi="宋体" w:cs="宋体"/>
                <w:color w:val="auto"/>
                <w:highlight w:val="none"/>
              </w:rPr>
              <w:t>开户名：/</w:t>
            </w:r>
          </w:p>
          <w:p>
            <w:pPr>
              <w:pStyle w:val="124"/>
              <w:spacing w:line="390" w:lineRule="exact"/>
              <w:rPr>
                <w:rFonts w:hAnsi="宋体" w:cs="宋体"/>
                <w:color w:val="auto"/>
                <w:highlight w:val="none"/>
              </w:rPr>
            </w:pPr>
            <w:r>
              <w:rPr>
                <w:rFonts w:hint="eastAsia" w:hAnsi="宋体" w:cs="宋体"/>
                <w:color w:val="auto"/>
                <w:highlight w:val="none"/>
              </w:rPr>
              <w:t>开户行：/</w:t>
            </w:r>
          </w:p>
          <w:p>
            <w:pPr>
              <w:pStyle w:val="124"/>
              <w:spacing w:line="390" w:lineRule="exact"/>
              <w:rPr>
                <w:rFonts w:hAnsi="宋体" w:cs="宋体"/>
                <w:color w:val="auto"/>
                <w:highlight w:val="none"/>
              </w:rPr>
            </w:pPr>
            <w:r>
              <w:rPr>
                <w:rFonts w:hint="eastAsia" w:hAnsi="宋体" w:cs="宋体"/>
                <w:color w:val="auto"/>
                <w:highlight w:val="none"/>
              </w:rPr>
              <w:t>帐  号：/</w:t>
            </w:r>
          </w:p>
          <w:p>
            <w:pPr>
              <w:pStyle w:val="22"/>
              <w:spacing w:line="390" w:lineRule="exact"/>
              <w:rPr>
                <w:rFonts w:hAnsi="宋体"/>
                <w:color w:val="auto"/>
                <w:highlight w:val="none"/>
              </w:rPr>
            </w:pPr>
            <w:r>
              <w:rPr>
                <w:rFonts w:hint="eastAsia" w:hAnsi="宋体"/>
                <w:color w:val="auto"/>
                <w:highlight w:val="none"/>
              </w:rPr>
              <w:t>2、履约保证金退还方式：</w:t>
            </w:r>
          </w:p>
          <w:p>
            <w:pPr>
              <w:pStyle w:val="22"/>
              <w:spacing w:line="390" w:lineRule="exact"/>
              <w:rPr>
                <w:rFonts w:hAnsi="宋体"/>
                <w:color w:val="auto"/>
                <w:highlight w:val="none"/>
              </w:rPr>
            </w:pPr>
            <w:r>
              <w:rPr>
                <w:rFonts w:hint="eastAsia" w:hAnsi="宋体"/>
                <w:color w:val="auto"/>
                <w:highlight w:val="none"/>
              </w:rPr>
              <w:t>（1）采用银行转账方式的，以转账方式退回到供应商银行账户。</w:t>
            </w:r>
          </w:p>
          <w:p>
            <w:pPr>
              <w:pStyle w:val="22"/>
              <w:spacing w:line="390" w:lineRule="exact"/>
              <w:rPr>
                <w:rFonts w:hAnsi="宋体"/>
                <w:color w:val="auto"/>
                <w:highlight w:val="none"/>
              </w:rPr>
            </w:pPr>
            <w:r>
              <w:rPr>
                <w:rFonts w:hint="eastAsia" w:hAnsi="宋体"/>
                <w:color w:val="auto"/>
                <w:highlight w:val="none"/>
              </w:rPr>
              <w:t>（2）采用支票、汇票或本票方式的，</w:t>
            </w:r>
            <w:r>
              <w:rPr>
                <w:rFonts w:hint="eastAsia" w:hAnsi="宋体" w:cs="宋体"/>
                <w:color w:val="auto"/>
                <w:highlight w:val="none"/>
              </w:rPr>
              <w:t>以转账方式退回到供应商银行账户或由供应商代表持相关授权证明材料至履约保证金收取单位办理支票、汇票或本票原件退还手续</w:t>
            </w:r>
            <w:r>
              <w:rPr>
                <w:rFonts w:hint="eastAsia" w:hAnsi="宋体"/>
                <w:color w:val="auto"/>
                <w:highlight w:val="none"/>
              </w:rPr>
              <w:t>。</w:t>
            </w:r>
          </w:p>
          <w:p>
            <w:pPr>
              <w:pStyle w:val="124"/>
              <w:spacing w:line="390" w:lineRule="exact"/>
              <w:rPr>
                <w:rFonts w:hAnsi="宋体" w:cs="宋体"/>
                <w:color w:val="auto"/>
                <w:highlight w:val="none"/>
              </w:rPr>
            </w:pPr>
            <w:r>
              <w:rPr>
                <w:rFonts w:hint="eastAsia" w:hAnsi="宋体"/>
                <w:color w:val="auto"/>
                <w:highlight w:val="none"/>
              </w:rPr>
              <w:t>（3）采用金融机构、担保机构、保险机构出具的保函、保险单方式的，</w:t>
            </w:r>
            <w:r>
              <w:rPr>
                <w:rFonts w:hint="eastAsia" w:hAnsi="宋体" w:cs="宋体"/>
                <w:color w:val="auto"/>
                <w:highlight w:val="none"/>
              </w:rPr>
              <w:t>由供应商代表持相关授权证明材料至履约保证金收取单位办理保函、保险单原件退还手续。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color w:val="auto"/>
                <w:highlight w:val="none"/>
              </w:rPr>
            </w:pPr>
            <w:r>
              <w:rPr>
                <w:rFonts w:hint="eastAsia" w:hAnsi="宋体" w:cs="宋体"/>
                <w:color w:val="auto"/>
                <w:highlight w:val="none"/>
              </w:rPr>
              <w:t>1、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pPr>
              <w:pStyle w:val="124"/>
              <w:spacing w:line="390" w:lineRule="exact"/>
              <w:rPr>
                <w:rFonts w:hAnsi="宋体" w:cs="宋体"/>
                <w:color w:val="auto"/>
                <w:highlight w:val="none"/>
              </w:rPr>
            </w:pPr>
            <w:r>
              <w:rPr>
                <w:rFonts w:hint="eastAsia" w:hAnsi="宋体" w:cs="宋体"/>
                <w:color w:val="auto"/>
                <w:highlight w:val="none"/>
              </w:rPr>
              <w:t>2、本文件中描述供应商的“签字”是指供应商的法定代表人或被授权人亲自在文件规定签署处亲笔写上个人的名字的行为，私章、签字章、电子签名、印鉴、影印等其它形式均不能代替亲笔签字。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pPr>
              <w:pStyle w:val="124"/>
              <w:numPr>
                <w:ilvl w:val="0"/>
                <w:numId w:val="3"/>
              </w:numPr>
              <w:spacing w:line="390" w:lineRule="exact"/>
              <w:jc w:val="center"/>
              <w:rPr>
                <w:rFonts w:hAnsi="宋体" w:cs="宋体"/>
                <w:color w:val="auto"/>
                <w:highlight w:val="none"/>
              </w:rPr>
            </w:pPr>
          </w:p>
        </w:tc>
        <w:tc>
          <w:tcPr>
            <w:tcW w:w="9020" w:type="dxa"/>
            <w:vAlign w:val="center"/>
          </w:tcPr>
          <w:p>
            <w:pPr>
              <w:pStyle w:val="124"/>
              <w:spacing w:line="390" w:lineRule="exact"/>
              <w:rPr>
                <w:rFonts w:hAnsi="宋体" w:cs="宋体"/>
                <w:color w:val="auto"/>
                <w:highlight w:val="none"/>
              </w:rPr>
            </w:pPr>
            <w:r>
              <w:rPr>
                <w:rFonts w:hint="eastAsia" w:hAnsi="宋体" w:cs="宋体"/>
                <w:color w:val="auto"/>
                <w:highlight w:val="none"/>
              </w:rPr>
              <w:t>本磋商文件中要求“原件备查”的材料，供应商必须于磋商当天携带好原件，若磋商小组通知原件核查，需在1小时内提供，否则按此项材料无效处理。若发现供应商提供虚假材料应标，作无效响应处理。</w:t>
            </w:r>
          </w:p>
        </w:tc>
      </w:tr>
    </w:tbl>
    <w:p>
      <w:pPr>
        <w:spacing w:line="400" w:lineRule="exact"/>
        <w:jc w:val="center"/>
        <w:rPr>
          <w:rFonts w:ascii="宋体" w:hAnsi="宋体" w:cs="宋体"/>
          <w:b/>
          <w:color w:val="auto"/>
          <w:sz w:val="32"/>
          <w:szCs w:val="32"/>
          <w:highlight w:val="none"/>
        </w:rPr>
      </w:pPr>
    </w:p>
    <w:p>
      <w:pPr>
        <w:spacing w:line="72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磋商供应商须知</w:t>
      </w:r>
    </w:p>
    <w:p>
      <w:pPr>
        <w:spacing w:line="400" w:lineRule="exact"/>
        <w:ind w:firstLine="211" w:firstLineChars="100"/>
        <w:jc w:val="left"/>
        <w:rPr>
          <w:rFonts w:ascii="宋体" w:hAnsi="宋体" w:cs="宋体"/>
          <w:b/>
          <w:color w:val="auto"/>
          <w:sz w:val="32"/>
          <w:szCs w:val="32"/>
          <w:highlight w:val="none"/>
        </w:rPr>
      </w:pPr>
      <w:r>
        <w:rPr>
          <w:rFonts w:hint="eastAsia" w:ascii="宋体" w:hAnsi="宋体" w:cs="宋体"/>
          <w:b/>
          <w:color w:val="auto"/>
          <w:szCs w:val="21"/>
          <w:highlight w:val="none"/>
        </w:rPr>
        <w:t>一、总　则</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适用范围</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本文件仅适用于本文件中所叙述的服务类采购项目。</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定义</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2.1“采购人”是指：南宁市军队离休退休干部望州路休养所</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2.2“采购代理机构”是指：</w:t>
      </w:r>
      <w:r>
        <w:rPr>
          <w:rFonts w:hint="eastAsia" w:ascii="宋体" w:hAnsi="宋体" w:cs="宋体"/>
          <w:color w:val="auto"/>
          <w:highlight w:val="none"/>
        </w:rPr>
        <w:t>广西国建项目管理有限公司。</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2.3“磋商供应商”是指响应本文件要求，参加磋商的法人或者其他组织和自然人。如果该供应商在本次磋商中成交,即成为“成交供应商”。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2.5“服务”是指除货物和工程以外的其他采购对象。</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2.6“竞争性磋商响应文件”是指：供应商根据本文件要求，编制包含报价、技术和服务等所有内容的文件。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磋商供应商的基本条件：详见须知前附表。</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磋商费用、代理服务费</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4.1磋商供应商应自行承担所有与编写和提交竞争性磋商响应文件有关的费用，不论磋商结果如何，采购人和</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在任何情况下无义务和责任承担此类费用。</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4.2本项目的代理服务费按须知前附表的规定执行，由成交供应商在</w:t>
      </w:r>
      <w:r>
        <w:rPr>
          <w:rFonts w:hint="eastAsia" w:ascii="宋体" w:hAnsi="宋体" w:cs="宋体"/>
          <w:color w:val="auto"/>
          <w:highlight w:val="none"/>
        </w:rPr>
        <w:t>签订合同前</w:t>
      </w:r>
      <w:r>
        <w:rPr>
          <w:rFonts w:hint="eastAsia" w:ascii="宋体" w:hAnsi="宋体" w:cs="宋体"/>
          <w:color w:val="auto"/>
          <w:szCs w:val="21"/>
          <w:highlight w:val="none"/>
        </w:rPr>
        <w:t>，一次性向采购代理机构支付。</w:t>
      </w:r>
    </w:p>
    <w:p>
      <w:pPr>
        <w:spacing w:line="400" w:lineRule="exact"/>
        <w:ind w:firstLine="422" w:firstLineChars="200"/>
        <w:rPr>
          <w:rFonts w:ascii="宋体" w:hAnsi="宋体" w:cs="宋体"/>
          <w:color w:val="auto"/>
          <w:szCs w:val="21"/>
          <w:highlight w:val="none"/>
        </w:rPr>
      </w:pPr>
      <w:r>
        <w:rPr>
          <w:rFonts w:hint="eastAsia" w:ascii="宋体" w:hAnsi="宋体" w:cs="宋体"/>
          <w:b/>
          <w:bCs/>
          <w:color w:val="auto"/>
          <w:highlight w:val="none"/>
        </w:rPr>
        <w:t xml:space="preserve">5. </w:t>
      </w:r>
      <w:r>
        <w:rPr>
          <w:rFonts w:hint="eastAsia" w:ascii="宋体" w:hAnsi="宋体" w:cs="宋体"/>
          <w:b/>
          <w:color w:val="auto"/>
          <w:szCs w:val="21"/>
          <w:highlight w:val="none"/>
        </w:rPr>
        <w:t>竞争性</w:t>
      </w:r>
      <w:r>
        <w:rPr>
          <w:rFonts w:hint="eastAsia" w:ascii="宋体" w:hAnsi="宋体" w:cs="宋体"/>
          <w:b/>
          <w:color w:val="auto"/>
          <w:highlight w:val="none"/>
        </w:rPr>
        <w:t>磋商文件的澄清和修改：</w:t>
      </w:r>
    </w:p>
    <w:p>
      <w:pPr>
        <w:widowControl/>
        <w:wordWrap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5.1供应商应认真阅读磋商文件的采购需求，如发现需求中有误或要求不合理的，供应商必须在提交首次响应文件截止之日前，以书面形式向采购人、采购代理机构提出，</w:t>
      </w:r>
      <w:r>
        <w:rPr>
          <w:rFonts w:hint="eastAsia" w:ascii="宋体" w:hAnsi="宋体" w:cs="宋体"/>
          <w:color w:val="auto"/>
          <w:highlight w:val="none"/>
        </w:rPr>
        <w:t>供应商在法定质疑期内必须一次性提出针对同一采购程序环节的质疑</w:t>
      </w:r>
      <w:r>
        <w:rPr>
          <w:rFonts w:hint="eastAsia" w:ascii="宋体" w:hAnsi="宋体" w:cs="宋体"/>
          <w:color w:val="auto"/>
          <w:szCs w:val="21"/>
          <w:highlight w:val="none"/>
        </w:rPr>
        <w:t>。</w:t>
      </w:r>
    </w:p>
    <w:p>
      <w:pPr>
        <w:widowControl/>
        <w:wordWrap w:val="0"/>
        <w:spacing w:line="4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0"/>
          <w:highlight w:val="none"/>
        </w:rPr>
        <w:t>5.3磋商</w:t>
      </w:r>
      <w:r>
        <w:rPr>
          <w:rFonts w:hint="eastAsia" w:ascii="宋体" w:hAnsi="宋体" w:cs="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pPr>
        <w:pStyle w:val="22"/>
        <w:snapToGrid w:val="0"/>
        <w:spacing w:line="400" w:lineRule="exact"/>
        <w:ind w:firstLine="422" w:firstLineChars="200"/>
        <w:rPr>
          <w:rFonts w:hAnsi="宋体" w:cs="宋体"/>
          <w:b/>
          <w:color w:val="auto"/>
          <w:highlight w:val="none"/>
        </w:rPr>
      </w:pPr>
      <w:r>
        <w:rPr>
          <w:rFonts w:hint="eastAsia" w:hAnsi="宋体" w:cs="宋体"/>
          <w:b/>
          <w:color w:val="auto"/>
          <w:highlight w:val="none"/>
        </w:rPr>
        <w:t>6.联合体竞标</w:t>
      </w:r>
    </w:p>
    <w:p>
      <w:pPr>
        <w:widowControl/>
        <w:spacing w:line="400" w:lineRule="exact"/>
        <w:ind w:firstLine="420" w:firstLineChars="200"/>
        <w:jc w:val="left"/>
        <w:rPr>
          <w:rFonts w:ascii="宋体" w:hAnsi="宋体" w:cs="宋体"/>
          <w:color w:val="auto"/>
          <w:kern w:val="0"/>
          <w:sz w:val="24"/>
          <w:highlight w:val="none"/>
        </w:rPr>
      </w:pPr>
      <w:r>
        <w:rPr>
          <w:rFonts w:hint="eastAsia" w:ascii="宋体" w:hAnsi="宋体" w:cs="宋体"/>
          <w:color w:val="auto"/>
          <w:highlight w:val="none"/>
        </w:rPr>
        <w:t>6.1本项目明确不接受联合体形式竞标，本采购文件所有相关联合体要求及格式文件均不适用。竞标人以联合体形式参加竞标的，竞标无效。</w:t>
      </w:r>
      <w:r>
        <w:rPr>
          <w:rFonts w:hint="eastAsia" w:ascii="宋体" w:hAnsi="宋体" w:cs="宋体"/>
          <w:color w:val="auto"/>
          <w:kern w:val="0"/>
          <w:sz w:val="24"/>
          <w:highlight w:val="none"/>
        </w:rPr>
        <w:t xml:space="preserve"> </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二、竞争性磋商响应文件的编制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 竞争性磋商响应文件编制基本要求</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7.1磋商供应商对竞争性磋商响应文件的编制应按要求装订和封装。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7.2磋商供应商提交的竞争性磋商响应文件以及磋商供应商与</w:t>
      </w:r>
      <w:r>
        <w:rPr>
          <w:rFonts w:hint="eastAsia" w:ascii="宋体" w:hAnsi="宋体" w:cs="宋体"/>
          <w:color w:val="auto"/>
          <w:highlight w:val="none"/>
        </w:rPr>
        <w:t>广西国建项目管理有限公司</w:t>
      </w:r>
      <w:r>
        <w:rPr>
          <w:rFonts w:hint="eastAsia" w:ascii="宋体" w:hAnsi="宋体" w:cs="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和采购人就有关磋商的所有来往函电均应使用中文。磋商供应商提交的支持文件和印刷的文献可以使用别的语言，但其相应内容必须附有中文翻译文本，在解释竞争性磋商响应文件时以中文翻译文本为主。</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7.3除技术要求中另有规定外，本文件所要求使用的计量单位均应采用国家法定计量单位。</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7.4磋商供应商应认真阅读、并充分理解本文件的全部内容（包括所有的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更改、补充、答疑等内容），承诺并履行本文件中各项条款规定及要求。</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7.5竞争性磋商响应文件必须按本文件的全部内容，包括所有的</w:t>
      </w:r>
      <w:r>
        <w:rPr>
          <w:rFonts w:hint="eastAsia" w:ascii="宋体" w:hAnsi="宋体" w:cs="宋体"/>
          <w:color w:val="auto"/>
          <w:highlight w:val="none"/>
        </w:rPr>
        <w:t>澄清、</w:t>
      </w:r>
      <w:r>
        <w:rPr>
          <w:rFonts w:hint="eastAsia" w:ascii="宋体" w:hAnsi="宋体" w:cs="宋体"/>
          <w:color w:val="auto"/>
          <w:szCs w:val="21"/>
          <w:highlight w:val="none"/>
        </w:rPr>
        <w:t>更改、补充、答疑等内容及附件进行编制。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7.6如因磋商供应商只填写和提供了本文件要求的部分内容和附件，而给磋商小组评审造成困难，其可能导致的结果和责任由磋商供应商自行承担。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7.7竞争性磋商响应文件的组成：竞争性磋商响应文件应由价格文件和商务技术文件两个部分组成（要求装订成一本）。</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7.7.1第一部分：价格文件</w:t>
      </w:r>
    </w:p>
    <w:p>
      <w:pPr>
        <w:spacing w:line="40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1）报价表；（附件一）</w:t>
      </w:r>
      <w:r>
        <w:rPr>
          <w:rFonts w:hint="eastAsia" w:ascii="宋体" w:hAnsi="宋体" w:cs="宋体"/>
          <w:b/>
          <w:color w:val="auto"/>
          <w:szCs w:val="21"/>
          <w:highlight w:val="none"/>
        </w:rPr>
        <w:t>[必须提供]</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以上文件均须加盖磋商供应商单位公章；应该有的必须提供，如未提供，磋商小组有权拒绝其响应文件。</w:t>
      </w:r>
    </w:p>
    <w:p>
      <w:pPr>
        <w:spacing w:line="4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7.7.2 第二部分：商务技术文件</w:t>
      </w:r>
      <w:r>
        <w:rPr>
          <w:rFonts w:hint="eastAsia" w:ascii="宋体" w:hAnsi="宋体" w:cs="宋体"/>
          <w:color w:val="auto"/>
          <w:szCs w:val="21"/>
          <w:highlight w:val="none"/>
        </w:rPr>
        <w:t>（</w:t>
      </w:r>
      <w:r>
        <w:rPr>
          <w:rFonts w:hint="eastAsia" w:ascii="宋体" w:hAnsi="宋体" w:cs="宋体"/>
          <w:b/>
          <w:bCs/>
          <w:color w:val="auto"/>
          <w:szCs w:val="21"/>
          <w:highlight w:val="none"/>
        </w:rPr>
        <w:t>以下文件要求必须提供的文件应加盖公章按要求提供，否则竞标无效。</w:t>
      </w:r>
      <w:r>
        <w:rPr>
          <w:rFonts w:hint="eastAsia" w:ascii="宋体" w:hAnsi="宋体" w:cs="宋体"/>
          <w:color w:val="auto"/>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1）磋商书及磋商声明书；（附件二）</w:t>
      </w:r>
      <w:r>
        <w:rPr>
          <w:rFonts w:hint="eastAsia" w:ascii="宋体" w:hAnsi="宋体" w:cs="宋体"/>
          <w:b/>
          <w:color w:val="auto"/>
          <w:szCs w:val="21"/>
          <w:highlight w:val="none"/>
        </w:rPr>
        <w:t>[必须提供]</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2）商务、技术（服务）响应、偏离情况说明表；（附件三）</w:t>
      </w:r>
      <w:r>
        <w:rPr>
          <w:rFonts w:hint="eastAsia" w:ascii="宋体" w:hAnsi="宋体" w:cs="宋体"/>
          <w:b/>
          <w:color w:val="auto"/>
          <w:szCs w:val="21"/>
          <w:highlight w:val="none"/>
        </w:rPr>
        <w:t>[必须提供]</w:t>
      </w:r>
    </w:p>
    <w:p>
      <w:pPr>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3）法定代表人身份证正、反面复印件；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 xml:space="preserve">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4）法定代表人授权委托书原件</w:t>
      </w:r>
      <w:r>
        <w:rPr>
          <w:rFonts w:hint="eastAsia" w:ascii="宋体" w:hAnsi="宋体" w:cs="宋体"/>
          <w:color w:val="auto"/>
          <w:highlight w:val="none"/>
        </w:rPr>
        <w:t>和委托代理人身份证正、反面复印件</w:t>
      </w:r>
      <w:r>
        <w:rPr>
          <w:rFonts w:hint="eastAsia" w:ascii="宋体" w:hAnsi="宋体" w:cs="宋体"/>
          <w:color w:val="auto"/>
          <w:szCs w:val="21"/>
          <w:highlight w:val="none"/>
        </w:rPr>
        <w:t>；（附件四）</w:t>
      </w:r>
      <w:r>
        <w:rPr>
          <w:rFonts w:hint="eastAsia" w:ascii="宋体" w:hAnsi="宋体" w:cs="宋体"/>
          <w:b/>
          <w:color w:val="auto"/>
          <w:highlight w:val="none"/>
        </w:rPr>
        <w:t xml:space="preserve"> [委托代理时</w:t>
      </w:r>
      <w:r>
        <w:rPr>
          <w:rFonts w:hint="eastAsia" w:ascii="宋体" w:hAnsi="宋体" w:cs="宋体"/>
          <w:b/>
          <w:bCs/>
          <w:color w:val="auto"/>
          <w:highlight w:val="none"/>
        </w:rPr>
        <w:t>必须提供</w:t>
      </w:r>
      <w:r>
        <w:rPr>
          <w:rFonts w:hint="eastAsia" w:ascii="宋体" w:hAnsi="宋体" w:cs="宋体"/>
          <w:b/>
          <w:color w:val="auto"/>
          <w:highlight w:val="none"/>
        </w:rPr>
        <w:t>]</w:t>
      </w:r>
      <w:r>
        <w:rPr>
          <w:rFonts w:hint="eastAsia" w:ascii="宋体" w:hAnsi="宋体" w:cs="宋体"/>
          <w:color w:val="auto"/>
          <w:szCs w:val="21"/>
          <w:highlight w:val="none"/>
        </w:rPr>
        <w:t xml:space="preserve"> </w:t>
      </w:r>
    </w:p>
    <w:p>
      <w:pPr>
        <w:spacing w:line="400" w:lineRule="exact"/>
        <w:ind w:firstLine="420" w:firstLineChars="200"/>
        <w:rPr>
          <w:rFonts w:ascii="宋体" w:hAnsi="宋体" w:cs="宋体"/>
          <w:b/>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磋商供应商有效的“营业执照”（磋商供应商为事业单位的不需要提供“营业执照”，但需提供“事业单位法人证书”）等证明文件复印件；</w:t>
      </w:r>
      <w:r>
        <w:rPr>
          <w:rFonts w:hint="eastAsia" w:ascii="宋体" w:hAnsi="宋体" w:cs="宋体"/>
          <w:b/>
          <w:color w:val="auto"/>
          <w:highlight w:val="none"/>
        </w:rPr>
        <w:t xml:space="preserve">[必须提供，原件备查]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6）资格声明函；（附件五）</w:t>
      </w:r>
      <w:r>
        <w:rPr>
          <w:rFonts w:hint="eastAsia" w:ascii="宋体" w:hAnsi="宋体" w:cs="宋体"/>
          <w:b/>
          <w:bCs/>
          <w:color w:val="auto"/>
          <w:szCs w:val="21"/>
          <w:highlight w:val="none"/>
        </w:rPr>
        <w:t>[必须提供</w:t>
      </w:r>
      <w:r>
        <w:rPr>
          <w:rFonts w:hint="eastAsia" w:ascii="宋体" w:hAnsi="宋体" w:cs="宋体"/>
          <w:b/>
          <w:bCs/>
          <w:color w:val="auto"/>
          <w:highlight w:val="none"/>
        </w:rPr>
        <w:t>]</w:t>
      </w:r>
      <w:r>
        <w:rPr>
          <w:rFonts w:hint="eastAsia" w:ascii="宋体" w:hAnsi="宋体" w:cs="宋体"/>
          <w:b/>
          <w:bCs/>
          <w:color w:val="auto"/>
          <w:szCs w:val="21"/>
          <w:highlight w:val="none"/>
        </w:rPr>
        <w:t xml:space="preserve"> </w:t>
      </w:r>
    </w:p>
    <w:p>
      <w:pPr>
        <w:spacing w:line="400" w:lineRule="exact"/>
        <w:ind w:firstLine="420" w:firstLineChars="200"/>
        <w:rPr>
          <w:rFonts w:ascii="宋体" w:hAnsi="宋体" w:cs="宋体"/>
          <w:b/>
          <w:color w:val="auto"/>
          <w:highlight w:val="none"/>
        </w:rPr>
      </w:pPr>
      <w:r>
        <w:rPr>
          <w:rFonts w:hint="eastAsia" w:ascii="宋体" w:hAnsi="宋体" w:cs="宋体"/>
          <w:color w:val="auto"/>
          <w:szCs w:val="21"/>
          <w:highlight w:val="none"/>
        </w:rPr>
        <w:t>7）本采购项目《采购需求》中要求必须提交的材料；</w:t>
      </w:r>
      <w:r>
        <w:rPr>
          <w:rFonts w:hint="eastAsia" w:ascii="宋体" w:hAnsi="宋体" w:cs="宋体"/>
          <w:b/>
          <w:color w:val="auto"/>
          <w:highlight w:val="none"/>
        </w:rPr>
        <w:t>[如有规定，则必须提供]</w:t>
      </w:r>
    </w:p>
    <w:p>
      <w:pPr>
        <w:spacing w:line="400" w:lineRule="exact"/>
        <w:ind w:firstLine="420" w:firstLineChars="200"/>
        <w:rPr>
          <w:rFonts w:ascii="宋体" w:hAnsi="宋体" w:cs="宋体"/>
          <w:b/>
          <w:color w:val="auto"/>
          <w:highlight w:val="none"/>
        </w:rPr>
      </w:pPr>
      <w:r>
        <w:rPr>
          <w:rFonts w:hint="eastAsia" w:ascii="宋体" w:hAnsi="宋体" w:cs="宋体"/>
          <w:color w:val="auto"/>
          <w:szCs w:val="21"/>
          <w:highlight w:val="none"/>
        </w:rPr>
        <w:t>8）服务方案；</w:t>
      </w:r>
      <w:r>
        <w:rPr>
          <w:rFonts w:hint="eastAsia" w:ascii="宋体" w:hAnsi="宋体" w:cs="宋体"/>
          <w:b/>
          <w:color w:val="auto"/>
          <w:szCs w:val="21"/>
          <w:highlight w:val="none"/>
        </w:rPr>
        <w:t>[格式自拟</w:t>
      </w:r>
      <w:r>
        <w:rPr>
          <w:rFonts w:hint="eastAsia" w:ascii="宋体" w:hAnsi="宋体" w:cs="宋体"/>
          <w:b/>
          <w:color w:val="auto"/>
          <w:highlight w:val="none"/>
        </w:rPr>
        <w:t>]</w:t>
      </w:r>
    </w:p>
    <w:p>
      <w:pPr>
        <w:wordWrap w:val="0"/>
        <w:snapToGrid w:val="0"/>
        <w:spacing w:line="360" w:lineRule="exact"/>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9）具备法律、行政法规规定的其他条件的证明材料[如有规定，则必须提供]</w:t>
      </w:r>
      <w:r>
        <w:rPr>
          <w:rFonts w:hint="eastAsia" w:ascii="宋体" w:hAnsi="宋体" w:cs="宋体"/>
          <w:b/>
          <w:color w:val="auto"/>
          <w:szCs w:val="21"/>
          <w:highlight w:val="none"/>
        </w:rPr>
        <w:t>；</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10）项目实施人员一览表；</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11）供应商对本项目的合理化建议和改进措施；</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12）磋商供应商符合中小企业划型标准的，按《政府采购促进中小企业发展管理办法》（财库〔2020〕46号）要求，提供中小企业声明函；（附件六）</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三、报价要求</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8.1对于本文件中未列明，而磋商供应商认为必需的费用也需列入总报价。在合同实施时，采购人将不予支付成交供应商没有列入的项目费用，并认为此项目的费用已包括在总报价中。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8.2成交供应商负责本项目所需服务的提供、实施、售后服务等全部工作。</w:t>
      </w:r>
    </w:p>
    <w:p>
      <w:pPr>
        <w:pStyle w:val="22"/>
        <w:spacing w:line="420" w:lineRule="exact"/>
        <w:ind w:firstLine="420"/>
        <w:rPr>
          <w:rFonts w:hAnsi="宋体" w:cs="宋体"/>
          <w:color w:val="auto"/>
          <w:highlight w:val="none"/>
        </w:rPr>
      </w:pPr>
      <w:r>
        <w:rPr>
          <w:rFonts w:hint="eastAsia" w:hAnsi="宋体" w:cs="宋体"/>
          <w:color w:val="auto"/>
          <w:highlight w:val="none"/>
        </w:rPr>
        <w:t>8.3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pPr>
        <w:spacing w:line="400" w:lineRule="exact"/>
        <w:ind w:firstLine="422" w:firstLineChars="200"/>
        <w:rPr>
          <w:rFonts w:ascii="宋体" w:hAnsi="宋体" w:cs="宋体"/>
          <w:b/>
          <w:color w:val="auto"/>
          <w:highlight w:val="none"/>
        </w:rPr>
      </w:pPr>
      <w:r>
        <w:rPr>
          <w:rFonts w:hint="eastAsia" w:ascii="宋体" w:hAnsi="宋体" w:cs="宋体"/>
          <w:b/>
          <w:color w:val="auto"/>
          <w:szCs w:val="21"/>
          <w:highlight w:val="none"/>
        </w:rPr>
        <w:t>8.4</w:t>
      </w:r>
      <w:r>
        <w:rPr>
          <w:rFonts w:hint="eastAsia" w:ascii="宋体" w:hAnsi="宋体" w:cs="宋体"/>
          <w:b/>
          <w:color w:val="auto"/>
          <w:highlight w:val="none"/>
        </w:rPr>
        <w:t>磋商报价：供应商必须就所竞项目的全部内容作完整唯一报价，漏项报价的或有选择的或有条件的报价，其响应文件将视为无效。</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8.5磋商供应商在报价时应考虑各方面因素、各种风险和自己的承受能力。经磋商小组审核存在严重不合理、低于其企业成本的报价，有可能影响产品质量和不能诚信履约的，其报价将不予接受。</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8.6某供应商的报价明显低于其他通过符合性审查供应商的报价，有可能影响服务质量或者不能诚信履约的，将要求其提供响应文件中磋商供应商自身出具的详细价格构成说明函原件（包括进货成本、管理费用、人员成本构成、物流运输成本、税收等所有成本和利润），同时提供（包含但不限于）以下支撑证明材料：①行政机构税务部门开具的拟投入项目人员的《依法缴纳个人所得税或依法免缴个人所得税的凭证（与本次磋商拟投入项目人员所提供社保同月份）》；②近两年经第三方具备审计资质的机构出具的审计报告[包括其固定资产成本及折旧、管理成本、人工费成本（如人员工资、奖金、福利及差旅等费用、税收等所有成本及利润）]复印件（原件现场核查）；③提供至少2个类似业绩的费用成本组成明细（并提供该业绩合同复印件，原件现场核查），所有相关货物生产厂家（服务提供）的联系人和固定联系电话以供确认。以上资料必须齐全，如在规定时间内提供不全或不提供或者磋商小组认定其材料不能详尽合理说明其成本的，或者相关资料真实性及合理性不被磋商小组完全接受的，磋商小组将其作为无效竞标处理。</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四、竞争性磋商响应文件有效期</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9.1自竞争性磋商响应文件递交截止日期后60日响应文件应保持有效。有效期不足的竞争性磋商响应文件将被拒绝。</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9.2在特殊情况下，采购代理机构可与磋商供应商协商延长竞争性磋商响应文件的有效期。</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9.3未成交的响应文件有效期内均应保持有效。</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9.4成交供应商的响应文件有效期自响应文件提交截止之日起至合同履行完毕止均应保持有效。</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五、竞争性磋商响应文件书写及签名、盖章要求</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10.1竞争性磋商响应文件正本必须用不褪色的墨水书写或打印，修改处应由法定代表人或委托代理人签名和盖公章，否则将会在评审中按无效竞争性磋商响应文件处理。</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10.2字迹潦草、表达不清或未按要求填写的竞争性磋商响应文件可能将被认定为无效的竞争性磋商响应文件。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10.3竞争性磋商响应文件应由法定代表人或委托代理人在凡规定签章处逐一签名和盖公章，否则将会在评审中按无效竞争性磋商响应文件处理。</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六、竞争性磋商响应文件的份数、封装、递交和撤回</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 竞争性磋商响应文件的份数和封装</w:t>
      </w:r>
    </w:p>
    <w:p>
      <w:pPr>
        <w:pStyle w:val="22"/>
        <w:spacing w:line="380" w:lineRule="exact"/>
        <w:ind w:firstLine="420"/>
        <w:rPr>
          <w:rFonts w:hAnsi="宋体" w:cs="宋体"/>
          <w:color w:val="auto"/>
          <w:highlight w:val="none"/>
        </w:rPr>
      </w:pPr>
      <w:r>
        <w:rPr>
          <w:rFonts w:hint="eastAsia" w:hAnsi="宋体" w:cs="宋体"/>
          <w:color w:val="auto"/>
          <w:highlight w:val="none"/>
        </w:rPr>
        <w:t>11.1磋商供应商应将竞争性磋商响应文件中“价格文件”和“商务技术文件”装订成一本（两文件相隔之间用封面标识，封面写明“价格文件”、“商务技术文件”字样）。</w:t>
      </w:r>
    </w:p>
    <w:p>
      <w:pPr>
        <w:pStyle w:val="22"/>
        <w:spacing w:line="380" w:lineRule="exact"/>
        <w:ind w:firstLine="420"/>
        <w:rPr>
          <w:rFonts w:hAnsi="宋体" w:cs="宋体"/>
          <w:color w:val="auto"/>
          <w:highlight w:val="none"/>
        </w:rPr>
      </w:pPr>
      <w:r>
        <w:rPr>
          <w:rFonts w:hint="eastAsia" w:hAnsi="宋体" w:cs="宋体"/>
          <w:color w:val="auto"/>
          <w:highlight w:val="none"/>
        </w:rPr>
        <w:t>磋商供应商将竞争性磋商响应文件按正、副本分别装订成册，在每个正、副本封面上标明“正本”或“副本”，以及采购项目名称、采购项目编号、</w:t>
      </w:r>
      <w:r>
        <w:rPr>
          <w:rFonts w:hint="eastAsia" w:hAnsi="宋体" w:cs="宋体"/>
          <w:bCs/>
          <w:color w:val="auto"/>
          <w:highlight w:val="none"/>
        </w:rPr>
        <w:t>所竞分标号（如有）</w:t>
      </w:r>
      <w:r>
        <w:rPr>
          <w:rFonts w:hint="eastAsia" w:hAnsi="宋体" w:cs="宋体"/>
          <w:color w:val="auto"/>
          <w:highlight w:val="none"/>
        </w:rPr>
        <w:t>、磋商供应商名称等内容。副本可以使用已在指定位置签字盖章的正本的复印件（封面除外），一旦正本和副本不符，以正本为准。</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11.2竞争性磋商</w:t>
      </w:r>
      <w:r>
        <w:rPr>
          <w:rFonts w:hint="eastAsia" w:ascii="宋体" w:hAnsi="宋体" w:cs="宋体"/>
          <w:color w:val="auto"/>
          <w:highlight w:val="none"/>
        </w:rPr>
        <w:t>响应文件份数：正本一份，副本四份。供应商在递交响应文件时，同时递交响应文件电子版。</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1）竞争性磋商</w:t>
      </w:r>
      <w:r>
        <w:rPr>
          <w:rFonts w:hint="eastAsia" w:ascii="宋体" w:hAnsi="宋体" w:cs="宋体"/>
          <w:color w:val="auto"/>
          <w:highlight w:val="none"/>
        </w:rPr>
        <w:t>响应文件电子版份数：1份。</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2）竞争性磋商</w:t>
      </w:r>
      <w:r>
        <w:rPr>
          <w:rFonts w:hint="eastAsia" w:ascii="宋体" w:hAnsi="宋体" w:cs="宋体"/>
          <w:color w:val="auto"/>
          <w:highlight w:val="none"/>
        </w:rPr>
        <w:t>响应文件电子版形式：可编辑的word文档格式。</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3）竞争性磋商</w:t>
      </w:r>
      <w:r>
        <w:rPr>
          <w:rFonts w:hint="eastAsia" w:ascii="宋体" w:hAnsi="宋体" w:cs="宋体"/>
          <w:color w:val="auto"/>
          <w:highlight w:val="none"/>
        </w:rPr>
        <w:t>响应文件电子版密封方式：将响应文件电子版U盘与纸质版响应文件一并装入响应文件袋中。</w:t>
      </w:r>
    </w:p>
    <w:p>
      <w:pPr>
        <w:spacing w:line="400" w:lineRule="exact"/>
        <w:ind w:firstLine="420" w:firstLineChars="200"/>
        <w:rPr>
          <w:rFonts w:ascii="宋体" w:hAnsi="宋体" w:cs="宋体"/>
          <w:color w:val="auto"/>
          <w:highlight w:val="none"/>
        </w:rPr>
      </w:pPr>
      <w:r>
        <w:rPr>
          <w:rFonts w:hint="eastAsia" w:ascii="宋体" w:hAnsi="宋体" w:cs="宋体"/>
          <w:color w:val="auto"/>
          <w:szCs w:val="21"/>
          <w:highlight w:val="none"/>
        </w:rPr>
        <w:t>4）</w:t>
      </w:r>
      <w:r>
        <w:rPr>
          <w:rFonts w:hint="eastAsia" w:ascii="宋体" w:hAnsi="宋体" w:cs="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11.3竞标文件袋上应写明：</w:t>
      </w:r>
    </w:p>
    <w:p>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1）采购代理机构：广西国建项目管理有限公司</w:t>
      </w:r>
    </w:p>
    <w:p>
      <w:pPr>
        <w:spacing w:line="400" w:lineRule="exact"/>
        <w:ind w:firstLine="630" w:firstLineChars="300"/>
        <w:rPr>
          <w:rFonts w:ascii="宋体" w:hAnsi="宋体" w:cs="宋体"/>
          <w:bCs/>
          <w:color w:val="auto"/>
          <w:szCs w:val="21"/>
          <w:highlight w:val="none"/>
        </w:rPr>
      </w:pPr>
      <w:r>
        <w:rPr>
          <w:rFonts w:hint="eastAsia" w:ascii="宋体" w:hAnsi="宋体" w:cs="宋体"/>
          <w:color w:val="auto"/>
          <w:szCs w:val="21"/>
          <w:highlight w:val="none"/>
        </w:rPr>
        <w:t>2）采购项目名称</w:t>
      </w:r>
      <w:r>
        <w:rPr>
          <w:rFonts w:hint="eastAsia" w:ascii="宋体" w:hAnsi="宋体" w:cs="宋体"/>
          <w:bCs/>
          <w:color w:val="auto"/>
          <w:szCs w:val="21"/>
          <w:highlight w:val="none"/>
        </w:rPr>
        <w:t>：</w:t>
      </w:r>
    </w:p>
    <w:p>
      <w:pPr>
        <w:spacing w:line="400" w:lineRule="exact"/>
        <w:ind w:firstLine="630" w:firstLineChars="300"/>
        <w:rPr>
          <w:rFonts w:ascii="宋体" w:hAnsi="宋体" w:cs="宋体"/>
          <w:bCs/>
          <w:color w:val="auto"/>
          <w:szCs w:val="21"/>
          <w:highlight w:val="none"/>
        </w:rPr>
      </w:pPr>
      <w:r>
        <w:rPr>
          <w:rFonts w:hint="eastAsia" w:ascii="宋体" w:hAnsi="宋体" w:cs="宋体"/>
          <w:bCs/>
          <w:color w:val="auto"/>
          <w:highlight w:val="none"/>
        </w:rPr>
        <w:t>3）</w:t>
      </w:r>
      <w:r>
        <w:rPr>
          <w:rFonts w:hint="eastAsia" w:ascii="宋体" w:hAnsi="宋体" w:cs="宋体"/>
          <w:color w:val="auto"/>
          <w:szCs w:val="21"/>
          <w:highlight w:val="none"/>
        </w:rPr>
        <w:t>采购项目编号</w:t>
      </w:r>
      <w:r>
        <w:rPr>
          <w:rFonts w:hint="eastAsia" w:ascii="宋体" w:hAnsi="宋体" w:cs="宋体"/>
          <w:bCs/>
          <w:color w:val="auto"/>
          <w:szCs w:val="21"/>
          <w:highlight w:val="none"/>
        </w:rPr>
        <w:t>：</w:t>
      </w:r>
    </w:p>
    <w:p>
      <w:pPr>
        <w:spacing w:line="400" w:lineRule="exact"/>
        <w:ind w:firstLine="630" w:firstLineChars="300"/>
        <w:rPr>
          <w:rFonts w:ascii="宋体" w:hAnsi="宋体" w:cs="宋体"/>
          <w:bCs/>
          <w:color w:val="auto"/>
          <w:highlight w:val="none"/>
        </w:rPr>
      </w:pPr>
      <w:r>
        <w:rPr>
          <w:rFonts w:hint="eastAsia" w:ascii="宋体" w:hAnsi="宋体" w:cs="宋体"/>
          <w:color w:val="auto"/>
          <w:szCs w:val="21"/>
          <w:highlight w:val="none"/>
        </w:rPr>
        <w:t>4）</w:t>
      </w:r>
      <w:r>
        <w:rPr>
          <w:rFonts w:hint="eastAsia" w:ascii="宋体" w:hAnsi="宋体" w:cs="宋体"/>
          <w:bCs/>
          <w:color w:val="auto"/>
          <w:highlight w:val="none"/>
        </w:rPr>
        <w:t>所竞分标号（如有）：</w:t>
      </w:r>
    </w:p>
    <w:p>
      <w:pPr>
        <w:spacing w:line="40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5）</w:t>
      </w:r>
      <w:r>
        <w:rPr>
          <w:rFonts w:hint="eastAsia" w:ascii="宋体" w:hAnsi="宋体" w:cs="宋体"/>
          <w:color w:val="auto"/>
          <w:szCs w:val="21"/>
          <w:highlight w:val="none"/>
        </w:rPr>
        <w:t>磋商供应商名称</w:t>
      </w:r>
      <w:r>
        <w:rPr>
          <w:rFonts w:hint="eastAsia" w:ascii="宋体" w:hAnsi="宋体" w:cs="宋体"/>
          <w:bCs/>
          <w:color w:val="auto"/>
          <w:szCs w:val="21"/>
          <w:highlight w:val="none"/>
        </w:rPr>
        <w:t>：</w:t>
      </w:r>
    </w:p>
    <w:p>
      <w:pPr>
        <w:spacing w:line="400" w:lineRule="exact"/>
        <w:ind w:firstLine="630" w:firstLineChars="300"/>
        <w:rPr>
          <w:rFonts w:ascii="宋体" w:hAnsi="宋体" w:cs="宋体"/>
          <w:bCs/>
          <w:color w:val="auto"/>
          <w:szCs w:val="21"/>
          <w:highlight w:val="none"/>
        </w:rPr>
      </w:pPr>
      <w:r>
        <w:rPr>
          <w:rFonts w:hint="eastAsia" w:ascii="宋体" w:hAnsi="宋体" w:cs="宋体"/>
          <w:bCs/>
          <w:color w:val="auto"/>
          <w:szCs w:val="21"/>
          <w:highlight w:val="none"/>
        </w:rPr>
        <w:t>6）（</w:t>
      </w:r>
      <w:r>
        <w:rPr>
          <w:rFonts w:hint="eastAsia" w:ascii="宋体" w:hAnsi="宋体" w:cs="宋体"/>
          <w:color w:val="auto"/>
          <w:highlight w:val="none"/>
        </w:rPr>
        <w:t>××年××月××日××时××分前不得拆开</w:t>
      </w:r>
      <w:r>
        <w:rPr>
          <w:rFonts w:hint="eastAsia" w:ascii="宋体" w:hAnsi="宋体" w:cs="宋体"/>
          <w:bCs/>
          <w:color w:val="auto"/>
          <w:szCs w:val="21"/>
          <w:highlight w:val="none"/>
        </w:rPr>
        <w:t>）</w:t>
      </w:r>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11.4竞争性磋商响应文件的密封以竞标文件袋无明显缝隙露出袋内文件且封口处有密封签章为合格。</w:t>
      </w:r>
    </w:p>
    <w:p>
      <w:pPr>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11.5</w:t>
      </w:r>
      <w:r>
        <w:rPr>
          <w:rFonts w:hint="eastAsia" w:ascii="宋体" w:hAnsi="宋体" w:cs="宋体"/>
          <w:b/>
          <w:bCs/>
          <w:color w:val="auto"/>
          <w:szCs w:val="21"/>
          <w:highlight w:val="none"/>
        </w:rPr>
        <w:t>磋商供应商在递交竞争性磋商响应文件时未按本须知要求密封、标记的，采购代理机构有权拒收，拒收所产生的后果由磋商供应商自负。</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 竞争性磋商响应文件的递交和撤回</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12.1竞争性磋商响应文件应于竞争性磋商文件中规定的时间前递交到指定地点位置。</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12.2递交竞争性磋商响应文件的地点：见“供应商须知前附表”。</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12.3磋商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修改后重新递交的响应文件应当按本竞争性磋商文件的要求签署、盖章和密封。</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13.迟交的竞争性磋商响应文件</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按《政府采购法》的规定，逾期送达的或者未送达指定地点的竞争性磋商响应文件，采购代理机构拒绝接收。</w:t>
      </w:r>
    </w:p>
    <w:p>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七、磋商保证金</w:t>
      </w:r>
    </w:p>
    <w:p>
      <w:pPr>
        <w:spacing w:line="370" w:lineRule="exact"/>
        <w:ind w:firstLine="420" w:firstLineChars="200"/>
        <w:rPr>
          <w:rFonts w:ascii="宋体" w:hAnsi="宋体" w:cs="宋体"/>
          <w:color w:val="auto"/>
          <w:highlight w:val="none"/>
        </w:rPr>
      </w:pPr>
      <w:r>
        <w:rPr>
          <w:rFonts w:hint="eastAsia" w:ascii="宋体" w:hAnsi="宋体" w:cs="宋体"/>
          <w:color w:val="auto"/>
          <w:highlight w:val="none"/>
        </w:rPr>
        <w:t>14.1供应商须按须知前附表的规定提交磋商保证金。否则，其响应文件将被拒绝。</w:t>
      </w:r>
    </w:p>
    <w:p>
      <w:pPr>
        <w:tabs>
          <w:tab w:val="left" w:pos="975"/>
        </w:tabs>
        <w:snapToGrid w:val="0"/>
        <w:spacing w:line="360" w:lineRule="exact"/>
        <w:ind w:firstLine="411" w:firstLineChars="196"/>
        <w:jc w:val="left"/>
        <w:rPr>
          <w:rFonts w:ascii="宋体" w:hAnsi="宋体" w:cs="宋体"/>
          <w:color w:val="auto"/>
          <w:highlight w:val="none"/>
        </w:rPr>
      </w:pPr>
      <w:r>
        <w:rPr>
          <w:rFonts w:hint="eastAsia" w:ascii="宋体" w:hAnsi="宋体" w:cs="宋体"/>
          <w:color w:val="auto"/>
          <w:highlight w:val="none"/>
        </w:rPr>
        <w:t>14.2磋商保证金按须知前附表的规定退还供应商。</w:t>
      </w:r>
    </w:p>
    <w:p>
      <w:pPr>
        <w:tabs>
          <w:tab w:val="left" w:pos="975"/>
        </w:tabs>
        <w:snapToGrid w:val="0"/>
        <w:spacing w:line="360" w:lineRule="exact"/>
        <w:ind w:firstLine="413" w:firstLineChars="196"/>
        <w:jc w:val="left"/>
        <w:rPr>
          <w:rFonts w:ascii="宋体" w:hAnsi="宋体" w:cs="宋体"/>
          <w:b/>
          <w:bCs/>
          <w:color w:val="auto"/>
          <w:szCs w:val="21"/>
          <w:highlight w:val="none"/>
        </w:rPr>
      </w:pPr>
      <w:r>
        <w:rPr>
          <w:rFonts w:hint="eastAsia" w:ascii="宋体" w:hAnsi="宋体" w:cs="宋体"/>
          <w:b/>
          <w:bCs/>
          <w:color w:val="auto"/>
          <w:szCs w:val="21"/>
          <w:highlight w:val="none"/>
        </w:rPr>
        <w:t>14.3磋商供应商有下列情形之一的，保证金将不予退还：</w:t>
      </w:r>
    </w:p>
    <w:p>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响应文件的；</w:t>
      </w:r>
    </w:p>
    <w:p>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s="宋体"/>
          <w:color w:val="auto"/>
          <w:szCs w:val="21"/>
          <w:highlight w:val="none"/>
        </w:rPr>
        <w:t>竞争性磋商</w:t>
      </w:r>
      <w:r>
        <w:rPr>
          <w:rFonts w:hint="eastAsia" w:ascii="宋体" w:hAnsi="宋体" w:cs="宋体"/>
          <w:color w:val="auto"/>
          <w:kern w:val="0"/>
          <w:szCs w:val="21"/>
          <w:highlight w:val="none"/>
        </w:rPr>
        <w:t>响应文件中提供虚假材料的；</w:t>
      </w:r>
    </w:p>
    <w:p>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s="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pPr>
        <w:tabs>
          <w:tab w:val="left" w:pos="975"/>
        </w:tabs>
        <w:snapToGrid w:val="0"/>
        <w:spacing w:line="360" w:lineRule="exact"/>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bCs/>
          <w:color w:val="auto"/>
          <w:szCs w:val="21"/>
          <w:highlight w:val="none"/>
        </w:rPr>
        <w:t>注：</w:t>
      </w:r>
      <w:r>
        <w:rPr>
          <w:rFonts w:hint="eastAsia" w:ascii="宋体" w:hAnsi="宋体" w:cs="宋体"/>
          <w:b/>
          <w:color w:val="auto"/>
          <w:kern w:val="0"/>
          <w:szCs w:val="21"/>
          <w:highlight w:val="none"/>
        </w:rPr>
        <w:t>磋商供应商</w:t>
      </w:r>
      <w:r>
        <w:rPr>
          <w:rFonts w:hint="eastAsia" w:ascii="宋体" w:hAnsi="宋体" w:cs="宋体"/>
          <w:b/>
          <w:color w:val="auto"/>
          <w:highlight w:val="none"/>
        </w:rPr>
        <w:t>已经被推荐为第一成交候选供应商后撤回</w:t>
      </w:r>
      <w:r>
        <w:rPr>
          <w:rFonts w:hint="eastAsia" w:ascii="宋体" w:hAnsi="宋体" w:cs="宋体"/>
          <w:b/>
          <w:color w:val="auto"/>
          <w:szCs w:val="21"/>
          <w:highlight w:val="none"/>
        </w:rPr>
        <w:t>竞争性磋商</w:t>
      </w:r>
      <w:r>
        <w:rPr>
          <w:rFonts w:hint="eastAsia" w:ascii="宋体" w:hAnsi="宋体" w:cs="宋体"/>
          <w:b/>
          <w:color w:val="auto"/>
          <w:kern w:val="0"/>
          <w:szCs w:val="21"/>
          <w:highlight w:val="none"/>
        </w:rPr>
        <w:t>响应文件</w:t>
      </w:r>
      <w:r>
        <w:rPr>
          <w:rFonts w:hint="eastAsia" w:ascii="宋体" w:hAnsi="宋体" w:cs="宋体"/>
          <w:b/>
          <w:color w:val="auto"/>
          <w:highlight w:val="none"/>
        </w:rPr>
        <w:t>或</w:t>
      </w:r>
      <w:r>
        <w:rPr>
          <w:rFonts w:hint="eastAsia" w:ascii="宋体" w:hAnsi="宋体" w:cs="宋体"/>
          <w:b/>
          <w:color w:val="auto"/>
          <w:kern w:val="0"/>
          <w:szCs w:val="21"/>
          <w:highlight w:val="none"/>
        </w:rPr>
        <w:t>拒绝签订采购合同的</w:t>
      </w:r>
      <w:r>
        <w:rPr>
          <w:rFonts w:hint="eastAsia" w:ascii="宋体" w:hAnsi="宋体" w:cs="宋体"/>
          <w:b/>
          <w:color w:val="auto"/>
          <w:highlight w:val="none"/>
        </w:rPr>
        <w:t>，其保证金将不予退还，给采购人造成损失的，还应当赔偿损失，并作为不良行为记录在案。</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szCs w:val="21"/>
          <w:highlight w:val="none"/>
        </w:rPr>
        <w:t>八</w:t>
      </w:r>
      <w:r>
        <w:rPr>
          <w:rFonts w:hint="eastAsia" w:ascii="宋体" w:hAnsi="宋体" w:cs="宋体"/>
          <w:b/>
          <w:color w:val="auto"/>
          <w:highlight w:val="none"/>
        </w:rPr>
        <w:t>、磋商程序</w:t>
      </w:r>
      <w:r>
        <w:rPr>
          <w:rFonts w:hint="eastAsia" w:ascii="宋体" w:hAnsi="宋体" w:cs="宋体"/>
          <w:b/>
          <w:color w:val="auto"/>
          <w:szCs w:val="21"/>
          <w:highlight w:val="none"/>
        </w:rPr>
        <w:t>及</w:t>
      </w:r>
      <w:r>
        <w:rPr>
          <w:rFonts w:hint="eastAsia" w:ascii="宋体" w:hAnsi="宋体" w:cs="宋体"/>
          <w:b/>
          <w:color w:val="auto"/>
          <w:highlight w:val="none"/>
        </w:rPr>
        <w:t>评标方法</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15.竞争性磋商响应文件无效的情形：</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15.1未实质性响应竞争性磋商文件的竞争性磋商响应文件按无效处理。</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15.2有下列情形之一的视为供应商相互串通参与磋商活动，竞争性磋商响应文件将被视为无效：</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1）不同供应商的竞争性磋商响应文件由同一单位或者个人编制；或不同供应商报名的IP地址一致的；</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2）不同供应商委托同一单位或者个人办理磋商活动事宜；</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3）不同的供应商的竞争性磋商响应文件载明的项目管理员或者联系人员为同一个人；</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4）不同供应商的竞争性磋商响应文件异常一致或磋商报价呈规律性差异；</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5）不同供应商的竞争性磋商响应文件相互混装；</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6）不同供应商的保证金从同一单位或者个人账户转出。</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15.3有下列情形之一的视为关联供应商参加同一合同项下采购活动，竞争性磋商响应文件将被视为无效：</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1）单位负责人为同一人或者存在直接控股、管理关系的不同供应商，参加同一合同项下采购活动；</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2）生产厂商授权给供应商后又参加同一合同项下的采购活动；生产厂商对同一品牌同一型号的货物委托多个代理商参加磋商活动。</w:t>
      </w:r>
    </w:p>
    <w:p>
      <w:pPr>
        <w:tabs>
          <w:tab w:val="left" w:pos="975"/>
        </w:tabs>
        <w:snapToGrid w:val="0"/>
        <w:spacing w:line="360" w:lineRule="exact"/>
        <w:ind w:firstLine="413" w:firstLineChars="196"/>
        <w:jc w:val="left"/>
        <w:rPr>
          <w:rFonts w:ascii="宋体" w:hAnsi="宋体" w:cs="宋体"/>
          <w:b/>
          <w:color w:val="auto"/>
          <w:highlight w:val="none"/>
        </w:rPr>
      </w:pPr>
      <w:r>
        <w:rPr>
          <w:rFonts w:hint="eastAsia" w:ascii="宋体" w:hAnsi="宋体" w:cs="宋体"/>
          <w:b/>
          <w:color w:val="auto"/>
          <w:highlight w:val="none"/>
        </w:rPr>
        <w:t>15.4被拒绝的响应文件为无效。</w:t>
      </w:r>
    </w:p>
    <w:p>
      <w:pPr>
        <w:tabs>
          <w:tab w:val="left" w:pos="975"/>
        </w:tabs>
        <w:snapToGrid w:val="0"/>
        <w:spacing w:line="360" w:lineRule="exact"/>
        <w:ind w:firstLine="413" w:firstLineChars="196"/>
        <w:jc w:val="left"/>
        <w:rPr>
          <w:rFonts w:ascii="宋体" w:hAnsi="宋体" w:cs="宋体"/>
          <w:b/>
          <w:color w:val="auto"/>
          <w:kern w:val="0"/>
          <w:szCs w:val="21"/>
          <w:highlight w:val="none"/>
        </w:rPr>
      </w:pPr>
      <w:r>
        <w:rPr>
          <w:rFonts w:hint="eastAsia" w:ascii="宋体" w:hAnsi="宋体" w:cs="宋体"/>
          <w:b/>
          <w:color w:val="auto"/>
          <w:kern w:val="0"/>
          <w:szCs w:val="21"/>
          <w:highlight w:val="none"/>
        </w:rPr>
        <w:t>15.5磋商供应商竞争性磋商响应文件无效的，磋商小组应当告知有关供应商。</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16.磋商</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16.1第一轮磋商</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磋商时间及地点：详见本须知前附表第9项规定。</w:t>
      </w:r>
    </w:p>
    <w:p>
      <w:pPr>
        <w:widowControl/>
        <w:tabs>
          <w:tab w:val="left" w:pos="540"/>
        </w:tabs>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cs="宋体"/>
          <w:bCs/>
          <w:color w:val="auto"/>
          <w:szCs w:val="21"/>
          <w:highlight w:val="none"/>
        </w:rPr>
        <w:t>供应商分别</w:t>
      </w:r>
      <w:r>
        <w:rPr>
          <w:rFonts w:hint="eastAsia" w:ascii="宋体" w:hAnsi="宋体" w:cs="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方法确定成交候选供应商。第一轮磋商后竞争性磋商文件有实质性变动或仍需磋商的，磋商小组对竞争性磋商文件变动或提出磋商意见后进行第二轮磋商。</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16.2竞争性磋商文件变动</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16.3第二轮磋商</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s="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s="宋体"/>
          <w:color w:val="auto"/>
          <w:szCs w:val="21"/>
          <w:highlight w:val="none"/>
        </w:rPr>
        <w:t>本公司对磋商过程和重要磋商内容进行记录，磋商双方在记录上签字确认。</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s="宋体"/>
          <w:color w:val="auto"/>
          <w:szCs w:val="21"/>
          <w:highlight w:val="none"/>
        </w:rPr>
        <w:t>。</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当磋商小组一致确定供应商的竞争性磋商响应文件符合竞争性磋商文件要求，无需再磋商的，磋商小组按竞争性磋商文件设定的16.4、16.6程序和</w:t>
      </w:r>
      <w:r>
        <w:rPr>
          <w:rFonts w:hint="eastAsia" w:ascii="宋体" w:hAnsi="宋体" w:cs="宋体"/>
          <w:color w:val="auto"/>
          <w:highlight w:val="none"/>
        </w:rPr>
        <w:t>评标</w:t>
      </w:r>
      <w:r>
        <w:rPr>
          <w:rFonts w:hint="eastAsia" w:ascii="宋体" w:hAnsi="宋体" w:cs="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pPr>
        <w:widowControl/>
        <w:tabs>
          <w:tab w:val="left" w:pos="540"/>
        </w:tabs>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16.4最后报价</w:t>
      </w:r>
    </w:p>
    <w:p>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s="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s="宋体"/>
          <w:color w:val="auto"/>
          <w:szCs w:val="21"/>
          <w:highlight w:val="none"/>
        </w:rPr>
        <w:t>磋商小组，磋商小组应当从质量和服务均能满足磋商文件实质性响应要求的供应商中，按照评标标准的得分由高到低的顺序提出3名以上（≥3）成交候选供应商</w:t>
      </w:r>
      <w:r>
        <w:rPr>
          <w:rFonts w:hint="eastAsia" w:ascii="宋体" w:hAnsi="宋体" w:cs="宋体"/>
          <w:bCs/>
          <w:color w:val="auto"/>
          <w:highlight w:val="none"/>
        </w:rPr>
        <w:t>（得分相同时，以磋商报价</w:t>
      </w:r>
      <w:r>
        <w:rPr>
          <w:rFonts w:hint="eastAsia" w:ascii="宋体" w:hAnsi="宋体" w:cs="宋体"/>
          <w:b/>
          <w:bCs/>
          <w:color w:val="auto"/>
          <w:highlight w:val="none"/>
        </w:rPr>
        <w:t>由低到高</w:t>
      </w:r>
      <w:r>
        <w:rPr>
          <w:rFonts w:hint="eastAsia" w:ascii="宋体" w:hAnsi="宋体" w:cs="宋体"/>
          <w:bCs/>
          <w:color w:val="auto"/>
          <w:highlight w:val="none"/>
        </w:rPr>
        <w:t>顺序排列；得分相同且报价相同的，按服务方案优劣顺序排列）</w:t>
      </w:r>
      <w:r>
        <w:rPr>
          <w:rFonts w:hint="eastAsia" w:ascii="宋体" w:hAnsi="宋体" w:cs="宋体"/>
          <w:color w:val="auto"/>
          <w:szCs w:val="21"/>
          <w:highlight w:val="none"/>
        </w:rPr>
        <w:t>，并编写评审报告。最后报价是供应商竞争性磋商响应文件的有效组成部分。</w:t>
      </w:r>
    </w:p>
    <w:p>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16.5在采购过程中符合要求的供应商或者报价未超过采购预算的供应商不足3家（＜3）的，磋商活动终止。</w:t>
      </w:r>
    </w:p>
    <w:p>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备注：①属于市场竞争不充分的科研项目，以及需要扶持的科技成果转化项目，提交最后报价的供应商可以为2家。</w:t>
      </w:r>
    </w:p>
    <w:p>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②根据财库【2015】124号《财政部关于政府采购竞争性磋商采购方式管理暂行办法有关问题的补充通知》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widowControl/>
        <w:tabs>
          <w:tab w:val="left" w:pos="540"/>
        </w:tabs>
        <w:spacing w:line="36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16.6</w:t>
      </w:r>
      <w:r>
        <w:rPr>
          <w:rFonts w:hint="eastAsia" w:ascii="宋体" w:hAnsi="宋体" w:cs="宋体"/>
          <w:color w:val="auto"/>
          <w:highlight w:val="none"/>
        </w:rPr>
        <w:t>本采购项目的评审依据为竞争性磋商文件和竞争性磋商响应文件，采用的评标方法为</w:t>
      </w:r>
      <w:r>
        <w:rPr>
          <w:rFonts w:hint="eastAsia" w:ascii="宋体" w:hAnsi="宋体" w:cs="宋体"/>
          <w:b/>
          <w:color w:val="auto"/>
          <w:highlight w:val="none"/>
        </w:rPr>
        <w:t>综合评分法</w:t>
      </w:r>
      <w:r>
        <w:rPr>
          <w:rFonts w:hint="eastAsia" w:ascii="宋体" w:hAnsi="宋体" w:cs="宋体"/>
          <w:color w:val="auto"/>
          <w:highlight w:val="none"/>
        </w:rPr>
        <w:t>。</w:t>
      </w:r>
    </w:p>
    <w:p>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16.7小微企业最后报价扣除计算。</w:t>
      </w:r>
    </w:p>
    <w:p>
      <w:pPr>
        <w:widowControl/>
        <w:tabs>
          <w:tab w:val="left" w:pos="540"/>
        </w:tabs>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政府采购促进中小企业发展管理办法》（财库〔2020〕46号）规定，服务由小微企业承接的（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pPr>
        <w:widowControl/>
        <w:tabs>
          <w:tab w:val="left" w:pos="540"/>
        </w:tabs>
        <w:spacing w:line="360" w:lineRule="exact"/>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九、确定成交供应商办法</w:t>
      </w:r>
    </w:p>
    <w:p>
      <w:pPr>
        <w:widowControl/>
        <w:tabs>
          <w:tab w:val="left" w:pos="540"/>
        </w:tabs>
        <w:spacing w:line="3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17.根据以下原则确定成交供应商：质量和服务均能满足</w:t>
      </w:r>
      <w:r>
        <w:rPr>
          <w:rFonts w:hint="eastAsia" w:ascii="宋体" w:hAnsi="宋体" w:cs="宋体"/>
          <w:color w:val="auto"/>
          <w:highlight w:val="none"/>
        </w:rPr>
        <w:t>竞争性磋商文件</w:t>
      </w:r>
      <w:r>
        <w:rPr>
          <w:rFonts w:hint="eastAsia" w:ascii="宋体" w:hAnsi="宋体" w:cs="宋体"/>
          <w:color w:val="auto"/>
          <w:kern w:val="0"/>
          <w:szCs w:val="21"/>
          <w:highlight w:val="none"/>
        </w:rPr>
        <w:t>实质性响应要求的供应商中按综合评分法的成交候选供应商推荐原则确定成交供应商。</w:t>
      </w:r>
    </w:p>
    <w:p>
      <w:pPr>
        <w:widowControl/>
        <w:tabs>
          <w:tab w:val="left" w:pos="540"/>
        </w:tabs>
        <w:spacing w:line="360" w:lineRule="exact"/>
        <w:ind w:firstLine="422" w:firstLineChars="200"/>
        <w:jc w:val="left"/>
        <w:rPr>
          <w:rFonts w:ascii="宋体" w:hAnsi="宋体" w:cs="宋体"/>
          <w:b/>
          <w:color w:val="auto"/>
          <w:highlight w:val="none"/>
        </w:rPr>
      </w:pPr>
      <w:r>
        <w:rPr>
          <w:rFonts w:hint="eastAsia" w:ascii="宋体" w:hAnsi="宋体" w:cs="宋体"/>
          <w:b/>
          <w:color w:val="auto"/>
          <w:highlight w:val="none"/>
        </w:rPr>
        <w:t>十、成交结果公告</w:t>
      </w:r>
    </w:p>
    <w:p>
      <w:pPr>
        <w:widowControl/>
        <w:tabs>
          <w:tab w:val="left" w:pos="540"/>
        </w:tabs>
        <w:wordWrap w:val="0"/>
        <w:spacing w:line="360" w:lineRule="exact"/>
        <w:ind w:firstLine="420" w:firstLineChars="200"/>
        <w:jc w:val="left"/>
        <w:rPr>
          <w:rFonts w:ascii="宋体" w:hAnsi="宋体" w:cs="宋体"/>
          <w:color w:val="auto"/>
          <w:highlight w:val="none"/>
        </w:rPr>
      </w:pPr>
      <w:r>
        <w:rPr>
          <w:rFonts w:hint="eastAsia" w:ascii="宋体" w:hAnsi="宋体" w:cs="宋体"/>
          <w:color w:val="auto"/>
          <w:kern w:val="0"/>
          <w:szCs w:val="21"/>
          <w:highlight w:val="none"/>
        </w:rPr>
        <w:t>18.1</w:t>
      </w:r>
      <w:r>
        <w:rPr>
          <w:rFonts w:hint="eastAsia" w:ascii="宋体" w:hAnsi="宋体" w:cs="宋体"/>
          <w:color w:val="auto"/>
          <w:highlight w:val="none"/>
        </w:rPr>
        <w:t>采购代理机构在评审结束后2个工作日内将磋商评审报告送采购人确认，</w:t>
      </w:r>
      <w:r>
        <w:rPr>
          <w:rFonts w:hint="eastAsia" w:ascii="宋体" w:hAnsi="宋体" w:cs="宋体"/>
          <w:color w:val="auto"/>
          <w:kern w:val="0"/>
          <w:highlight w:val="none"/>
        </w:rPr>
        <w:t>采购人</w:t>
      </w:r>
      <w:r>
        <w:rPr>
          <w:rFonts w:hint="eastAsia" w:ascii="宋体" w:hAnsi="宋体" w:cs="宋体"/>
          <w:color w:val="auto"/>
          <w:highlight w:val="none"/>
        </w:rPr>
        <w:t>确认后，成交结果公告将在</w:t>
      </w:r>
      <w:r>
        <w:rPr>
          <w:rFonts w:hint="eastAsia" w:ascii="宋体" w:hAnsi="宋体" w:cs="宋体"/>
          <w:bCs/>
          <w:color w:val="auto"/>
          <w:szCs w:val="21"/>
          <w:highlight w:val="none"/>
          <w:lang w:bidi="ar"/>
        </w:rPr>
        <w:t>采购与招标网（https://www.chinabidding.cn/）、广西国建项目管理有限公司网站（http://gxguojian.com/）</w:t>
      </w:r>
      <w:r>
        <w:rPr>
          <w:rFonts w:hint="eastAsia" w:ascii="宋体" w:hAnsi="宋体" w:cs="宋体"/>
          <w:color w:val="auto"/>
          <w:highlight w:val="none"/>
        </w:rPr>
        <w:t>上发布，</w:t>
      </w:r>
      <w:r>
        <w:rPr>
          <w:rFonts w:hint="eastAsia" w:ascii="宋体" w:hAnsi="宋体" w:cs="宋体"/>
          <w:color w:val="auto"/>
          <w:kern w:val="0"/>
          <w:highlight w:val="none"/>
        </w:rPr>
        <w:t>同时向成交供应商发出成交通知书</w:t>
      </w:r>
      <w:r>
        <w:rPr>
          <w:rFonts w:hint="eastAsia" w:ascii="宋体" w:hAnsi="宋体" w:cs="宋体"/>
          <w:color w:val="auto"/>
          <w:highlight w:val="none"/>
        </w:rPr>
        <w:t>。</w:t>
      </w:r>
    </w:p>
    <w:p>
      <w:pPr>
        <w:pStyle w:val="22"/>
        <w:spacing w:line="380" w:lineRule="exact"/>
        <w:ind w:left="105" w:firstLine="315"/>
        <w:rPr>
          <w:rFonts w:hAnsi="宋体" w:cs="宋体"/>
          <w:bCs/>
          <w:color w:val="auto"/>
          <w:highlight w:val="none"/>
        </w:rPr>
      </w:pPr>
      <w:r>
        <w:rPr>
          <w:rFonts w:hint="eastAsia" w:hAnsi="宋体" w:cs="宋体"/>
          <w:color w:val="auto"/>
          <w:highlight w:val="none"/>
        </w:rPr>
        <w:t>18.2磋商供应商</w:t>
      </w:r>
      <w:r>
        <w:rPr>
          <w:rFonts w:hint="eastAsia" w:hAnsi="宋体" w:cs="宋体"/>
          <w:color w:val="auto"/>
          <w:kern w:val="0"/>
          <w:highlight w:val="none"/>
        </w:rPr>
        <w:t>认为成交结果使自己的权益受到损害的</w:t>
      </w:r>
      <w:r>
        <w:rPr>
          <w:rFonts w:hint="eastAsia" w:hAnsi="宋体" w:cs="宋体"/>
          <w:color w:val="auto"/>
          <w:highlight w:val="none"/>
        </w:rPr>
        <w:t>，</w:t>
      </w:r>
      <w:r>
        <w:rPr>
          <w:rFonts w:hint="eastAsia" w:hAnsi="宋体" w:cs="宋体"/>
          <w:color w:val="auto"/>
          <w:kern w:val="0"/>
          <w:highlight w:val="none"/>
        </w:rPr>
        <w:t>可以在成交结果公告期限届满之日起</w:t>
      </w:r>
      <w:r>
        <w:rPr>
          <w:rFonts w:hint="eastAsia" w:hAnsi="宋体" w:cs="宋体"/>
          <w:bCs/>
          <w:color w:val="auto"/>
          <w:highlight w:val="none"/>
        </w:rPr>
        <w:t>七个工作日内以书面形式向采购代理机构提出质疑</w:t>
      </w:r>
      <w:r>
        <w:rPr>
          <w:rFonts w:hint="eastAsia" w:hAnsi="宋体" w:cs="宋体"/>
          <w:color w:val="auto"/>
          <w:highlight w:val="none"/>
        </w:rPr>
        <w:t>，供应商在法定质疑期内必须一次性提出针对同一采购程序环节的质疑</w:t>
      </w:r>
      <w:r>
        <w:rPr>
          <w:rFonts w:hint="eastAsia" w:hAnsi="宋体" w:cs="宋体"/>
          <w:bCs/>
          <w:color w:val="auto"/>
          <w:highlight w:val="none"/>
        </w:rPr>
        <w:t>。采购代理机构将在收到</w:t>
      </w:r>
      <w:r>
        <w:rPr>
          <w:rFonts w:hint="eastAsia" w:hAnsi="宋体" w:cs="宋体"/>
          <w:color w:val="auto"/>
          <w:highlight w:val="none"/>
        </w:rPr>
        <w:t>磋商供应商</w:t>
      </w:r>
      <w:r>
        <w:rPr>
          <w:rFonts w:hint="eastAsia" w:hAnsi="宋体" w:cs="宋体"/>
          <w:bCs/>
          <w:color w:val="auto"/>
          <w:highlight w:val="none"/>
        </w:rPr>
        <w:t>的书面质疑后七个工作日内做出答复，但答复的内容不得涉及商业秘密。</w:t>
      </w:r>
    </w:p>
    <w:p>
      <w:pPr>
        <w:pStyle w:val="22"/>
        <w:spacing w:line="380" w:lineRule="exact"/>
        <w:ind w:firstLine="420"/>
        <w:rPr>
          <w:rFonts w:hAnsi="宋体" w:cs="宋体"/>
          <w:bCs/>
          <w:color w:val="auto"/>
          <w:highlight w:val="none"/>
        </w:rPr>
      </w:pPr>
      <w:r>
        <w:rPr>
          <w:rFonts w:hint="eastAsia" w:hAnsi="宋体" w:cs="宋体"/>
          <w:color w:val="auto"/>
          <w:highlight w:val="none"/>
        </w:rPr>
        <w:t>18.3</w:t>
      </w:r>
      <w:r>
        <w:rPr>
          <w:rFonts w:hint="eastAsia" w:hAnsi="宋体" w:cs="宋体"/>
          <w:bCs/>
          <w:color w:val="auto"/>
          <w:highlight w:val="none"/>
        </w:rPr>
        <w:t>质疑</w:t>
      </w:r>
      <w:r>
        <w:rPr>
          <w:rFonts w:hint="eastAsia" w:hAnsi="宋体" w:cs="宋体"/>
          <w:color w:val="auto"/>
          <w:highlight w:val="none"/>
        </w:rPr>
        <w:t>磋商供应商</w:t>
      </w:r>
      <w:r>
        <w:rPr>
          <w:rFonts w:hint="eastAsia" w:hAnsi="宋体" w:cs="宋体"/>
          <w:bCs/>
          <w:color w:val="auto"/>
          <w:highlight w:val="none"/>
        </w:rPr>
        <w:t>必须首先经过质疑程序，在对采购代理机构的答复不满意或者采购代理机构未在规定的时间内做出答复的，可以在答复期满后十五个工作日内书面向本级监督管理部门投诉。</w:t>
      </w:r>
    </w:p>
    <w:p>
      <w:pPr>
        <w:pStyle w:val="22"/>
        <w:spacing w:line="380" w:lineRule="exact"/>
        <w:ind w:firstLine="420"/>
        <w:rPr>
          <w:rFonts w:hAnsi="宋体" w:cs="宋体"/>
          <w:color w:val="auto"/>
          <w:highlight w:val="none"/>
        </w:rPr>
      </w:pPr>
      <w:r>
        <w:rPr>
          <w:rFonts w:hint="eastAsia" w:hAnsi="宋体" w:cs="宋体"/>
          <w:color w:val="auto"/>
          <w:highlight w:val="none"/>
        </w:rPr>
        <w:t>质疑联系部门及电话为：广西国建项目管理有限公司        0771-4915533</w:t>
      </w:r>
    </w:p>
    <w:p>
      <w:pPr>
        <w:pStyle w:val="22"/>
        <w:spacing w:line="380" w:lineRule="exact"/>
        <w:ind w:firstLine="420"/>
        <w:rPr>
          <w:rFonts w:hAnsi="宋体" w:cs="宋体"/>
          <w:color w:val="auto"/>
          <w:highlight w:val="none"/>
        </w:rPr>
      </w:pPr>
      <w:r>
        <w:rPr>
          <w:rFonts w:hint="eastAsia" w:hAnsi="宋体" w:cs="宋体"/>
          <w:color w:val="auto"/>
          <w:highlight w:val="none"/>
        </w:rPr>
        <w:t>通讯地址：广西南宁市白沙大道53号松宇时代17楼</w:t>
      </w:r>
    </w:p>
    <w:p>
      <w:pPr>
        <w:pStyle w:val="22"/>
        <w:spacing w:line="380" w:lineRule="exact"/>
        <w:ind w:firstLine="420"/>
        <w:rPr>
          <w:rFonts w:hAnsi="宋体" w:cs="宋体"/>
          <w:b/>
          <w:color w:val="auto"/>
          <w:highlight w:val="none"/>
        </w:rPr>
      </w:pPr>
      <w:r>
        <w:rPr>
          <w:rFonts w:hint="eastAsia" w:hAnsi="宋体" w:cs="宋体"/>
          <w:b/>
          <w:color w:val="auto"/>
          <w:highlight w:val="none"/>
        </w:rPr>
        <w:t>十一、签订合同</w:t>
      </w:r>
    </w:p>
    <w:p>
      <w:pPr>
        <w:pStyle w:val="22"/>
        <w:spacing w:line="380" w:lineRule="exact"/>
        <w:ind w:firstLine="420"/>
        <w:rPr>
          <w:rFonts w:hAnsi="宋体" w:cs="宋体"/>
          <w:color w:val="auto"/>
          <w:highlight w:val="none"/>
        </w:rPr>
      </w:pPr>
      <w:r>
        <w:rPr>
          <w:rFonts w:hint="eastAsia" w:hAnsi="宋体" w:cs="宋体"/>
          <w:color w:val="auto"/>
          <w:highlight w:val="none"/>
        </w:rPr>
        <w:t>19.1签订合同时间：详见采购需求。</w:t>
      </w:r>
    </w:p>
    <w:p>
      <w:pPr>
        <w:pStyle w:val="22"/>
        <w:spacing w:line="380" w:lineRule="exact"/>
        <w:ind w:firstLine="420"/>
        <w:rPr>
          <w:rFonts w:hAnsi="宋体" w:cs="宋体"/>
          <w:color w:val="auto"/>
          <w:kern w:val="0"/>
          <w:highlight w:val="none"/>
        </w:rPr>
      </w:pPr>
      <w:r>
        <w:rPr>
          <w:rFonts w:hint="eastAsia" w:hAnsi="宋体" w:cs="宋体"/>
          <w:color w:val="auto"/>
          <w:highlight w:val="none"/>
        </w:rPr>
        <w:t>19.2</w:t>
      </w:r>
      <w:r>
        <w:rPr>
          <w:rFonts w:hint="eastAsia" w:hAnsi="宋体" w:cs="宋体"/>
          <w:color w:val="auto"/>
          <w:kern w:val="0"/>
          <w:highlight w:val="none"/>
        </w:rPr>
        <w:t>成交供应商拒绝签订采购合同的</w:t>
      </w:r>
      <w:r>
        <w:rPr>
          <w:rFonts w:hint="eastAsia" w:hAnsi="宋体" w:cs="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s="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pPr>
        <w:pStyle w:val="22"/>
        <w:spacing w:line="380" w:lineRule="exact"/>
        <w:ind w:firstLine="420"/>
        <w:rPr>
          <w:rFonts w:hAnsi="宋体" w:cs="宋体"/>
          <w:b/>
          <w:color w:val="auto"/>
          <w:highlight w:val="none"/>
        </w:rPr>
      </w:pPr>
      <w:r>
        <w:rPr>
          <w:rFonts w:hint="eastAsia" w:hAnsi="宋体" w:cs="宋体"/>
          <w:b/>
          <w:color w:val="auto"/>
          <w:highlight w:val="none"/>
        </w:rPr>
        <w:t>19.3</w:t>
      </w:r>
      <w:r>
        <w:rPr>
          <w:rFonts w:hint="eastAsia" w:hAnsi="宋体" w:cs="宋体"/>
          <w:b/>
          <w:color w:val="auto"/>
          <w:kern w:val="0"/>
          <w:highlight w:val="none"/>
        </w:rPr>
        <w:t>成交供应商拒绝签订采购合同的</w:t>
      </w:r>
      <w:r>
        <w:rPr>
          <w:rFonts w:hint="eastAsia" w:hAnsi="宋体" w:cs="宋体"/>
          <w:b/>
          <w:color w:val="auto"/>
          <w:highlight w:val="none"/>
        </w:rPr>
        <w:t>，其保证金将不予退还，给采购人造成损失的，还应当赔偿损失，并作为不良行为记录在案。</w:t>
      </w:r>
    </w:p>
    <w:p>
      <w:pPr>
        <w:pStyle w:val="22"/>
        <w:spacing w:line="380" w:lineRule="exact"/>
        <w:ind w:firstLine="420"/>
        <w:rPr>
          <w:rFonts w:hAnsi="宋体" w:cs="宋体"/>
          <w:b/>
          <w:color w:val="auto"/>
          <w:highlight w:val="none"/>
        </w:rPr>
      </w:pPr>
      <w:r>
        <w:rPr>
          <w:rFonts w:hint="eastAsia" w:hAnsi="宋体" w:cs="宋体"/>
          <w:b/>
          <w:color w:val="auto"/>
          <w:highlight w:val="none"/>
        </w:rPr>
        <w:t>19.4履约保证金</w:t>
      </w:r>
    </w:p>
    <w:p>
      <w:pPr>
        <w:pStyle w:val="22"/>
        <w:spacing w:line="380" w:lineRule="exact"/>
        <w:ind w:firstLine="420"/>
        <w:rPr>
          <w:rFonts w:hAnsi="宋体" w:cs="宋体"/>
          <w:color w:val="auto"/>
          <w:kern w:val="0"/>
          <w:highlight w:val="none"/>
        </w:rPr>
      </w:pPr>
      <w:r>
        <w:rPr>
          <w:rFonts w:hint="eastAsia" w:hAnsi="宋体" w:cs="宋体"/>
          <w:color w:val="auto"/>
          <w:kern w:val="0"/>
          <w:highlight w:val="none"/>
        </w:rPr>
        <w:t>1）成交供应商须于签订合同前按磋商供应商须知前附表规定的金额及递交方式将履约保证金直接缴入指定账户。否则,不予办理签订合同。</w:t>
      </w:r>
    </w:p>
    <w:p>
      <w:pPr>
        <w:pStyle w:val="22"/>
        <w:spacing w:line="380" w:lineRule="exact"/>
        <w:ind w:firstLine="420"/>
        <w:rPr>
          <w:rFonts w:hAnsi="宋体" w:cs="宋体"/>
          <w:color w:val="auto"/>
          <w:kern w:val="0"/>
          <w:highlight w:val="none"/>
        </w:rPr>
      </w:pPr>
      <w:r>
        <w:rPr>
          <w:rFonts w:hint="eastAsia" w:hAnsi="宋体" w:cs="宋体"/>
          <w:color w:val="auto"/>
          <w:kern w:val="0"/>
          <w:highlight w:val="none"/>
        </w:rPr>
        <w:t>2）签订合同后，如成交供应商不按双方签订的合同规定履约，则其全部履约保证金不予退还，履约保证金不足以赔偿损失的，按实际损失赔偿。</w:t>
      </w:r>
    </w:p>
    <w:p>
      <w:pPr>
        <w:pStyle w:val="22"/>
        <w:spacing w:line="380" w:lineRule="exact"/>
        <w:ind w:firstLine="420"/>
        <w:rPr>
          <w:rFonts w:hAnsi="宋体" w:cs="宋体"/>
          <w:color w:val="auto"/>
          <w:kern w:val="0"/>
          <w:highlight w:val="none"/>
        </w:rPr>
      </w:pPr>
      <w:r>
        <w:rPr>
          <w:rFonts w:hint="eastAsia" w:hAnsi="宋体" w:cs="宋体"/>
          <w:color w:val="auto"/>
          <w:kern w:val="0"/>
          <w:highlight w:val="none"/>
        </w:rPr>
        <w:t>3）成交供应商按合同约定交货验收合格后，提交《广西壮族自治区政府采购项目合同验收书》及履约保证金退付申请，履约保证金由</w:t>
      </w:r>
      <w:r>
        <w:rPr>
          <w:rFonts w:hint="eastAsia" w:hAnsi="宋体" w:cs="宋体"/>
          <w:color w:val="auto"/>
          <w:highlight w:val="none"/>
        </w:rPr>
        <w:t>履约保证金收取单位按磋商供应商须知前附表规定的</w:t>
      </w:r>
      <w:r>
        <w:rPr>
          <w:rFonts w:hint="eastAsia" w:hAnsi="宋体" w:cs="宋体"/>
          <w:color w:val="auto"/>
          <w:kern w:val="0"/>
          <w:highlight w:val="none"/>
        </w:rPr>
        <w:t>方式退还（不计利息）。</w:t>
      </w:r>
    </w:p>
    <w:p>
      <w:pPr>
        <w:pStyle w:val="22"/>
        <w:spacing w:line="380" w:lineRule="exact"/>
        <w:ind w:firstLine="420"/>
        <w:rPr>
          <w:rFonts w:hAnsi="宋体" w:cs="宋体"/>
          <w:color w:val="auto"/>
          <w:kern w:val="0"/>
          <w:highlight w:val="none"/>
        </w:rPr>
      </w:pPr>
      <w:r>
        <w:rPr>
          <w:rFonts w:hint="eastAsia" w:hAnsi="宋体" w:cs="宋体"/>
          <w:color w:val="auto"/>
          <w:kern w:val="0"/>
          <w:highlight w:val="none"/>
        </w:rPr>
        <w:t>4）在履约保证金退还日期前，若成交供应商的开户名称、开户银行、帐号有变动的，请以书面形式通知</w:t>
      </w:r>
      <w:r>
        <w:rPr>
          <w:rFonts w:hint="eastAsia" w:hAnsi="宋体" w:cs="宋体"/>
          <w:color w:val="auto"/>
          <w:highlight w:val="none"/>
        </w:rPr>
        <w:t>履约保证金收取单位</w:t>
      </w:r>
      <w:r>
        <w:rPr>
          <w:rFonts w:hint="eastAsia" w:hAnsi="宋体" w:cs="宋体"/>
          <w:color w:val="auto"/>
          <w:kern w:val="0"/>
          <w:highlight w:val="none"/>
        </w:rPr>
        <w:t>，否则由此产生的后果由成交供应商自负。</w:t>
      </w:r>
    </w:p>
    <w:p>
      <w:pPr>
        <w:pStyle w:val="22"/>
        <w:spacing w:line="300" w:lineRule="exact"/>
        <w:ind w:firstLine="420"/>
        <w:rPr>
          <w:rFonts w:hAnsi="宋体" w:cs="宋体"/>
          <w:b/>
          <w:color w:val="auto"/>
          <w:highlight w:val="none"/>
        </w:rPr>
      </w:pPr>
      <w:r>
        <w:rPr>
          <w:rFonts w:hint="eastAsia" w:hAnsi="宋体" w:cs="宋体"/>
          <w:b/>
          <w:color w:val="auto"/>
          <w:highlight w:val="none"/>
        </w:rPr>
        <w:t>十二、适用法律</w:t>
      </w:r>
    </w:p>
    <w:p>
      <w:pPr>
        <w:pStyle w:val="22"/>
        <w:ind w:firstLine="420"/>
        <w:rPr>
          <w:rFonts w:hAnsi="宋体" w:cs="宋体"/>
          <w:color w:val="auto"/>
          <w:highlight w:val="none"/>
        </w:rPr>
      </w:pPr>
      <w:r>
        <w:rPr>
          <w:rFonts w:hint="eastAsia" w:hAnsi="宋体" w:cs="宋体"/>
          <w:color w:val="auto"/>
          <w:highlight w:val="none"/>
        </w:rPr>
        <w:t>20.采购当事人的一切活动均适用于《中华人民共和国政府采购法》及相关规定。最终磋商结束后，磋商小组不得再与磋商供应商进行任何形式的商谈。</w:t>
      </w:r>
    </w:p>
    <w:p>
      <w:pPr>
        <w:spacing w:line="3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十三、其他事项</w:t>
      </w:r>
    </w:p>
    <w:p>
      <w:pPr>
        <w:spacing w:line="3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21.1成交服务费</w:t>
      </w:r>
    </w:p>
    <w:p>
      <w:pPr>
        <w:pStyle w:val="22"/>
        <w:spacing w:line="300" w:lineRule="exact"/>
        <w:ind w:firstLine="420" w:firstLineChars="200"/>
        <w:rPr>
          <w:rFonts w:hAnsi="宋体" w:cs="宋体"/>
          <w:color w:val="auto"/>
          <w:highlight w:val="none"/>
        </w:rPr>
      </w:pPr>
      <w:r>
        <w:rPr>
          <w:rFonts w:hint="eastAsia" w:hAnsi="宋体" w:cs="宋体"/>
          <w:color w:val="auto"/>
          <w:highlight w:val="none"/>
        </w:rPr>
        <w:t>（1）采购代理机构根据（发改价格〔2015〕299号）精神，按4500元向成交供应商收取。签订合同前，成交人须向广西国建项目管理有限公司一次付清成交服务费。</w:t>
      </w:r>
    </w:p>
    <w:p>
      <w:pPr>
        <w:pStyle w:val="22"/>
        <w:spacing w:line="300" w:lineRule="exact"/>
        <w:ind w:firstLine="435"/>
        <w:rPr>
          <w:rFonts w:hAnsi="宋体" w:cs="宋体"/>
          <w:color w:val="auto"/>
          <w:highlight w:val="none"/>
        </w:rPr>
      </w:pPr>
      <w:r>
        <w:rPr>
          <w:rFonts w:hint="eastAsia" w:hAnsi="宋体" w:cs="宋体"/>
          <w:color w:val="auto"/>
          <w:highlight w:val="none"/>
        </w:rPr>
        <w:t>（3）服务费指定银行账户：</w:t>
      </w:r>
    </w:p>
    <w:p>
      <w:pPr>
        <w:pStyle w:val="22"/>
        <w:spacing w:line="300" w:lineRule="exact"/>
        <w:ind w:firstLine="435"/>
        <w:rPr>
          <w:rFonts w:hAnsi="宋体" w:cs="宋体"/>
          <w:color w:val="auto"/>
          <w:highlight w:val="none"/>
        </w:rPr>
      </w:pPr>
      <w:r>
        <w:rPr>
          <w:rFonts w:hint="eastAsia" w:hAnsi="宋体" w:cs="宋体"/>
          <w:color w:val="auto"/>
          <w:highlight w:val="none"/>
        </w:rPr>
        <w:t>开户名称：广西国建项目管理有限公司</w:t>
      </w:r>
    </w:p>
    <w:p>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开户银行：广西北部湾银行股份有限公司南宁市江南支行</w:t>
      </w:r>
    </w:p>
    <w:p>
      <w:pPr>
        <w:spacing w:line="3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银行账号：8001 1543 5100 037</w:t>
      </w:r>
    </w:p>
    <w:p>
      <w:pPr>
        <w:spacing w:line="300" w:lineRule="exact"/>
        <w:ind w:firstLine="422" w:firstLineChars="200"/>
        <w:rPr>
          <w:rFonts w:ascii="宋体" w:hAnsi="宋体" w:cs="宋体"/>
          <w:b/>
          <w:color w:val="auto"/>
          <w:highlight w:val="none"/>
        </w:rPr>
      </w:pPr>
      <w:r>
        <w:rPr>
          <w:rFonts w:hint="eastAsia" w:ascii="宋体" w:hAnsi="宋体" w:cs="宋体"/>
          <w:b/>
          <w:color w:val="auto"/>
          <w:szCs w:val="21"/>
          <w:highlight w:val="none"/>
        </w:rPr>
        <w:t>21.2</w:t>
      </w:r>
      <w:r>
        <w:rPr>
          <w:rFonts w:hint="eastAsia" w:ascii="宋体" w:hAnsi="宋体" w:cs="宋体"/>
          <w:b/>
          <w:color w:val="auto"/>
          <w:highlight w:val="none"/>
        </w:rPr>
        <w:t>解释权</w:t>
      </w:r>
    </w:p>
    <w:p>
      <w:pPr>
        <w:spacing w:line="300" w:lineRule="exact"/>
        <w:ind w:firstLine="404" w:firstLineChars="200"/>
        <w:rPr>
          <w:rFonts w:ascii="宋体" w:hAnsi="宋体" w:cs="宋体"/>
          <w:color w:val="auto"/>
          <w:spacing w:val="-4"/>
          <w:highlight w:val="none"/>
        </w:rPr>
      </w:pPr>
      <w:r>
        <w:rPr>
          <w:rFonts w:hint="eastAsia" w:ascii="宋体" w:hAnsi="宋体" w:cs="宋体"/>
          <w:color w:val="auto"/>
          <w:spacing w:val="-4"/>
          <w:highlight w:val="none"/>
        </w:rPr>
        <w:t>本竞争性磋商文件是根据国家有关法律、法规以及政府采购管理的有关规定和参照国际惯例编制，解释权属采购代理机构广西国建项目管理有限公司。</w:t>
      </w:r>
    </w:p>
    <w:p>
      <w:pPr>
        <w:spacing w:line="300" w:lineRule="exact"/>
        <w:ind w:firstLine="422" w:firstLineChars="200"/>
        <w:rPr>
          <w:rFonts w:ascii="宋体" w:hAnsi="宋体" w:cs="宋体"/>
          <w:b/>
          <w:color w:val="auto"/>
          <w:highlight w:val="none"/>
        </w:rPr>
      </w:pPr>
      <w:r>
        <w:rPr>
          <w:rFonts w:hint="eastAsia" w:ascii="宋体" w:hAnsi="宋体" w:cs="宋体"/>
          <w:b/>
          <w:color w:val="auto"/>
          <w:szCs w:val="21"/>
          <w:highlight w:val="none"/>
        </w:rPr>
        <w:t>21.3</w:t>
      </w:r>
      <w:r>
        <w:rPr>
          <w:rFonts w:hint="eastAsia" w:ascii="宋体" w:hAnsi="宋体" w:cs="宋体"/>
          <w:b/>
          <w:color w:val="auto"/>
          <w:highlight w:val="none"/>
        </w:rPr>
        <w:t>有关事宜</w:t>
      </w:r>
    </w:p>
    <w:p>
      <w:pPr>
        <w:spacing w:line="300" w:lineRule="exact"/>
        <w:ind w:firstLine="420" w:firstLineChars="200"/>
        <w:rPr>
          <w:rFonts w:ascii="宋体" w:hAnsi="宋体" w:cs="宋体"/>
          <w:color w:val="auto"/>
          <w:highlight w:val="none"/>
        </w:rPr>
      </w:pPr>
      <w:r>
        <w:rPr>
          <w:rFonts w:hint="eastAsia" w:ascii="宋体" w:hAnsi="宋体" w:cs="宋体"/>
          <w:color w:val="auto"/>
          <w:highlight w:val="none"/>
        </w:rPr>
        <w:t>所有与本竞争性磋商文件有关的函电请按下列通讯地址联系：</w:t>
      </w:r>
    </w:p>
    <w:p>
      <w:pPr>
        <w:pStyle w:val="22"/>
        <w:spacing w:line="300" w:lineRule="exact"/>
        <w:ind w:firstLine="420" w:firstLineChars="200"/>
        <w:rPr>
          <w:rFonts w:hAnsi="宋体" w:cs="宋体"/>
          <w:color w:val="auto"/>
          <w:highlight w:val="none"/>
        </w:rPr>
      </w:pPr>
      <w:r>
        <w:rPr>
          <w:rFonts w:hint="eastAsia" w:hAnsi="宋体" w:cs="宋体"/>
          <w:color w:val="auto"/>
          <w:highlight w:val="none"/>
        </w:rPr>
        <w:t>广西国建项目管理有限公司</w:t>
      </w:r>
    </w:p>
    <w:p>
      <w:pPr>
        <w:pStyle w:val="22"/>
        <w:tabs>
          <w:tab w:val="left" w:pos="1990"/>
        </w:tabs>
        <w:spacing w:line="300" w:lineRule="exact"/>
        <w:ind w:firstLine="420" w:firstLineChars="200"/>
        <w:rPr>
          <w:rFonts w:hAnsi="宋体" w:cs="宋体"/>
          <w:color w:val="auto"/>
          <w:highlight w:val="none"/>
          <w:u w:val="single"/>
        </w:rPr>
      </w:pPr>
      <w:r>
        <w:rPr>
          <w:rFonts w:hint="eastAsia" w:hAnsi="宋体" w:cs="宋体"/>
          <w:color w:val="auto"/>
          <w:highlight w:val="none"/>
        </w:rPr>
        <w:t>邮政编码：530000</w:t>
      </w:r>
    </w:p>
    <w:p>
      <w:pPr>
        <w:pStyle w:val="22"/>
        <w:tabs>
          <w:tab w:val="left" w:pos="1990"/>
        </w:tabs>
        <w:spacing w:line="300" w:lineRule="exact"/>
        <w:ind w:firstLine="420" w:firstLineChars="200"/>
        <w:rPr>
          <w:rFonts w:hAnsi="宋体" w:cs="宋体"/>
          <w:color w:val="auto"/>
          <w:spacing w:val="-4"/>
          <w:highlight w:val="none"/>
        </w:rPr>
      </w:pPr>
      <w:r>
        <w:rPr>
          <w:rFonts w:hint="eastAsia" w:hAnsi="宋体" w:cs="宋体"/>
          <w:color w:val="auto"/>
          <w:highlight w:val="none"/>
        </w:rPr>
        <w:t>通讯地址：广西南宁市白沙大道53号松宇时代17楼</w:t>
      </w:r>
    </w:p>
    <w:p>
      <w:pPr>
        <w:pStyle w:val="22"/>
        <w:spacing w:line="300" w:lineRule="exact"/>
        <w:ind w:firstLine="420" w:firstLineChars="200"/>
        <w:rPr>
          <w:rFonts w:hAnsi="宋体" w:cs="宋体"/>
          <w:b/>
          <w:color w:val="auto"/>
          <w:sz w:val="32"/>
          <w:szCs w:val="32"/>
          <w:highlight w:val="none"/>
        </w:rPr>
      </w:pPr>
      <w:r>
        <w:rPr>
          <w:rFonts w:hint="eastAsia" w:hAnsi="宋体" w:cs="宋体"/>
          <w:color w:val="auto"/>
          <w:highlight w:val="none"/>
        </w:rPr>
        <w:t>电    话：0771—4915599</w:t>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rPr>
          <w:rFonts w:ascii="宋体" w:hAnsi="宋体" w:cs="宋体"/>
          <w:b/>
          <w:color w:val="auto"/>
          <w:sz w:val="32"/>
          <w:szCs w:val="32"/>
          <w:highlight w:val="none"/>
        </w:rPr>
      </w:pPr>
    </w:p>
    <w:p>
      <w:pPr>
        <w:pStyle w:val="36"/>
        <w:rPr>
          <w:rFonts w:ascii="宋体" w:hAnsi="宋体" w:cs="宋体"/>
          <w:color w:val="auto"/>
          <w:sz w:val="44"/>
          <w:szCs w:val="44"/>
          <w:highlight w:val="none"/>
        </w:rPr>
      </w:pPr>
      <w:bookmarkStart w:id="46" w:name="_Toc476258758"/>
      <w:bookmarkStart w:id="47" w:name="_Toc476258664"/>
      <w:r>
        <w:rPr>
          <w:rFonts w:hint="eastAsia" w:ascii="宋体" w:hAnsi="宋体" w:cs="宋体"/>
          <w:color w:val="auto"/>
          <w:sz w:val="44"/>
          <w:szCs w:val="44"/>
          <w:highlight w:val="none"/>
        </w:rPr>
        <w:t>第三章  采购需求</w:t>
      </w:r>
      <w:bookmarkEnd w:id="46"/>
      <w:bookmarkEnd w:id="47"/>
    </w:p>
    <w:p>
      <w:pPr>
        <w:spacing w:line="720" w:lineRule="auto"/>
        <w:jc w:val="center"/>
        <w:rPr>
          <w:rFonts w:ascii="宋体" w:hAnsi="宋体" w:cs="宋体"/>
          <w:b/>
          <w:color w:val="auto"/>
          <w:sz w:val="32"/>
          <w:szCs w:val="32"/>
          <w:highlight w:val="none"/>
        </w:rPr>
      </w:pPr>
    </w:p>
    <w:p>
      <w:pPr>
        <w:spacing w:line="72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bookmarkStart w:id="48" w:name="_Hlk163471464"/>
      <w:r>
        <w:rPr>
          <w:rFonts w:hint="eastAsia" w:ascii="宋体" w:hAnsi="宋体" w:cs="宋体"/>
          <w:b/>
          <w:color w:val="auto"/>
          <w:sz w:val="32"/>
          <w:szCs w:val="32"/>
          <w:highlight w:val="none"/>
        </w:rPr>
        <w:t>采购项目技术规格、参数及要求</w:t>
      </w:r>
      <w:bookmarkEnd w:id="48"/>
    </w:p>
    <w:p>
      <w:pPr>
        <w:tabs>
          <w:tab w:val="left" w:pos="180"/>
          <w:tab w:val="left" w:pos="1620"/>
        </w:tabs>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一、采购项目编号：GXGJ2024-C0070-S</w:t>
      </w:r>
    </w:p>
    <w:p>
      <w:pPr>
        <w:tabs>
          <w:tab w:val="left" w:pos="180"/>
          <w:tab w:val="left" w:pos="1620"/>
        </w:tabs>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二、采购项目类别：</w:t>
      </w:r>
      <w:r>
        <w:rPr>
          <w:rFonts w:hint="eastAsia" w:ascii="宋体" w:hAnsi="宋体" w:cs="宋体"/>
          <w:color w:val="auto"/>
          <w:szCs w:val="21"/>
          <w:highlight w:val="none"/>
          <w:u w:val="single"/>
        </w:rPr>
        <w:t xml:space="preserve">  服务类  </w:t>
      </w:r>
    </w:p>
    <w:p>
      <w:pPr>
        <w:tabs>
          <w:tab w:val="left" w:pos="180"/>
          <w:tab w:val="left" w:pos="1620"/>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三、采购需求一览表</w:t>
      </w:r>
    </w:p>
    <w:p>
      <w:pPr>
        <w:spacing w:line="440" w:lineRule="exact"/>
        <w:ind w:firstLine="437"/>
        <w:rPr>
          <w:rFonts w:ascii="宋体" w:hAnsi="宋体" w:cs="宋体"/>
          <w:color w:val="auto"/>
          <w:szCs w:val="21"/>
          <w:highlight w:val="none"/>
        </w:rPr>
      </w:pPr>
      <w:r>
        <w:rPr>
          <w:rFonts w:hint="eastAsia" w:ascii="宋体" w:hAnsi="宋体" w:cs="宋体"/>
          <w:color w:val="auto"/>
          <w:szCs w:val="21"/>
          <w:highlight w:val="none"/>
        </w:rPr>
        <w:t>说明：本项目需求表中打‘▲’及表述为“须”或“必须”的条款均为实质性要求或条件，供应商必须作出满足或者优于该要求和条件的承诺，否则响应文件无效。</w:t>
      </w:r>
    </w:p>
    <w:tbl>
      <w:tblPr>
        <w:tblStyle w:val="38"/>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866"/>
        <w:gridCol w:w="80"/>
        <w:gridCol w:w="498"/>
        <w:gridCol w:w="465"/>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项号</w:t>
            </w:r>
          </w:p>
        </w:tc>
        <w:tc>
          <w:tcPr>
            <w:tcW w:w="94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标的名称</w:t>
            </w:r>
          </w:p>
        </w:tc>
        <w:tc>
          <w:tcPr>
            <w:tcW w:w="4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75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400" w:lineRule="exact"/>
              <w:jc w:val="center"/>
              <w:rPr>
                <w:rFonts w:ascii="宋体" w:hAnsi="宋体" w:cs="宋体"/>
                <w:b/>
                <w:color w:val="auto"/>
                <w:szCs w:val="21"/>
                <w:highlight w:val="none"/>
              </w:rPr>
            </w:pPr>
          </w:p>
        </w:tc>
        <w:tc>
          <w:tcPr>
            <w:tcW w:w="94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bookmarkStart w:id="49" w:name="_Hlk165968495"/>
            <w:r>
              <w:rPr>
                <w:rFonts w:hint="eastAsia" w:ascii="宋体" w:hAnsi="宋体" w:cs="宋体"/>
                <w:color w:val="auto"/>
                <w:szCs w:val="21"/>
                <w:highlight w:val="none"/>
              </w:rPr>
              <w:t>南宁市望州路军休所军休干部2024年健康疗养</w:t>
            </w:r>
            <w:bookmarkEnd w:id="49"/>
          </w:p>
        </w:tc>
        <w:tc>
          <w:tcPr>
            <w:tcW w:w="4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4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7518" w:type="dxa"/>
            <w:tcBorders>
              <w:top w:val="single" w:color="auto" w:sz="4" w:space="0"/>
              <w:left w:val="single" w:color="auto" w:sz="4" w:space="0"/>
              <w:right w:val="single" w:color="auto" w:sz="4" w:space="0"/>
            </w:tcBorders>
            <w:vAlign w:val="center"/>
          </w:tcPr>
          <w:p>
            <w:pPr>
              <w:spacing w:line="400" w:lineRule="exact"/>
              <w:rPr>
                <w:rFonts w:ascii="宋体" w:hAnsi="宋体"/>
                <w:b/>
                <w:bCs/>
                <w:color w:val="auto"/>
                <w:szCs w:val="21"/>
                <w:highlight w:val="none"/>
              </w:rPr>
            </w:pPr>
            <w:r>
              <w:rPr>
                <w:rFonts w:hint="eastAsia" w:ascii="宋体" w:hAnsi="宋体"/>
                <w:b/>
                <w:bCs/>
                <w:color w:val="auto"/>
                <w:szCs w:val="21"/>
                <w:highlight w:val="none"/>
              </w:rPr>
              <w:t>一、基本要求：</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本项目为南宁市望州路军休所军休干部2024年健康疗养服务项目，需向望州路军休所共计</w:t>
            </w:r>
            <w:r>
              <w:rPr>
                <w:rFonts w:hint="eastAsia" w:ascii="宋体" w:hAnsi="宋体"/>
                <w:color w:val="auto"/>
                <w:szCs w:val="21"/>
                <w:highlight w:val="none"/>
                <w:u w:val="single"/>
              </w:rPr>
              <w:t xml:space="preserve"> 105 </w:t>
            </w:r>
            <w:r>
              <w:rPr>
                <w:rFonts w:hint="eastAsia" w:ascii="宋体" w:hAnsi="宋体"/>
                <w:color w:val="auto"/>
                <w:szCs w:val="21"/>
                <w:highlight w:val="none"/>
              </w:rPr>
              <w:t>名军休干部提供昆明、大理、丽江7天6晚旅游服务。本项目分为两批次出行，其中第一批</w:t>
            </w:r>
            <w:r>
              <w:rPr>
                <w:rFonts w:hint="eastAsia" w:ascii="宋体" w:hAnsi="宋体"/>
                <w:color w:val="auto"/>
                <w:szCs w:val="21"/>
                <w:highlight w:val="none"/>
                <w:u w:val="single"/>
              </w:rPr>
              <w:t xml:space="preserve">  46  </w:t>
            </w:r>
            <w:r>
              <w:rPr>
                <w:rFonts w:hint="eastAsia" w:ascii="宋体" w:hAnsi="宋体"/>
                <w:color w:val="auto"/>
                <w:szCs w:val="21"/>
                <w:highlight w:val="none"/>
              </w:rPr>
              <w:t>人，第二批</w:t>
            </w:r>
            <w:r>
              <w:rPr>
                <w:rFonts w:hint="eastAsia" w:ascii="宋体" w:hAnsi="宋体"/>
                <w:color w:val="auto"/>
                <w:szCs w:val="21"/>
                <w:highlight w:val="none"/>
                <w:u w:val="single"/>
              </w:rPr>
              <w:t xml:space="preserve">  59  </w:t>
            </w:r>
            <w:r>
              <w:rPr>
                <w:rFonts w:hint="eastAsia" w:ascii="宋体" w:hAnsi="宋体"/>
                <w:color w:val="auto"/>
                <w:szCs w:val="21"/>
                <w:highlight w:val="none"/>
              </w:rPr>
              <w:t>人，具体人数以当日实际出发人数为准。预计出行时间为2024年5-6月，具体出行人数及时间以采购人通知为准。</w:t>
            </w:r>
          </w:p>
          <w:p>
            <w:pPr>
              <w:spacing w:line="400" w:lineRule="exact"/>
              <w:rPr>
                <w:rFonts w:ascii="宋体" w:hAnsi="宋体"/>
                <w:b/>
                <w:bCs/>
                <w:color w:val="auto"/>
                <w:szCs w:val="21"/>
                <w:highlight w:val="none"/>
              </w:rPr>
            </w:pPr>
          </w:p>
          <w:p>
            <w:pPr>
              <w:spacing w:line="400" w:lineRule="exact"/>
              <w:rPr>
                <w:rFonts w:ascii="宋体" w:hAnsi="宋体"/>
                <w:b/>
                <w:bCs/>
                <w:color w:val="auto"/>
                <w:szCs w:val="21"/>
                <w:highlight w:val="none"/>
              </w:rPr>
            </w:pPr>
            <w:r>
              <w:rPr>
                <w:rFonts w:hint="eastAsia" w:ascii="宋体" w:hAnsi="宋体"/>
                <w:b/>
                <w:bCs/>
                <w:color w:val="auto"/>
                <w:szCs w:val="21"/>
                <w:highlight w:val="none"/>
              </w:rPr>
              <w:t>二、行程要求：</w:t>
            </w:r>
            <w:r>
              <w:rPr>
                <w:rFonts w:hint="eastAsia" w:ascii="宋体" w:hAnsi="宋体"/>
                <w:b/>
                <w:bCs/>
                <w:color w:val="auto"/>
                <w:szCs w:val="21"/>
                <w:highlight w:val="none"/>
              </w:rPr>
              <w:t>（本要求中所述的酒店、餐厅/馆，均为采购人推荐，供应商可根据行程要求更换同档次其他酒店、餐厅/馆）</w:t>
            </w:r>
          </w:p>
          <w:p>
            <w:pPr>
              <w:spacing w:line="400" w:lineRule="exact"/>
              <w:rPr>
                <w:rFonts w:ascii="宋体" w:hAnsi="宋体"/>
                <w:b/>
                <w:bCs/>
                <w:color w:val="auto"/>
                <w:szCs w:val="21"/>
                <w:highlight w:val="none"/>
              </w:rPr>
            </w:pPr>
            <w:r>
              <w:rPr>
                <w:rFonts w:hint="eastAsia" w:ascii="宋体" w:hAnsi="宋体"/>
                <w:b/>
                <w:bCs/>
                <w:color w:val="auto"/>
                <w:szCs w:val="21"/>
                <w:highlight w:val="none"/>
              </w:rPr>
              <w:t>D1:</w:t>
            </w:r>
          </w:p>
          <w:p>
            <w:pPr>
              <w:spacing w:line="400" w:lineRule="exact"/>
              <w:rPr>
                <w:rFonts w:ascii="宋体" w:hAnsi="宋体"/>
                <w:color w:val="auto"/>
                <w:szCs w:val="21"/>
                <w:highlight w:val="none"/>
              </w:rPr>
            </w:pPr>
            <w:r>
              <w:rPr>
                <w:rFonts w:hint="eastAsia" w:ascii="宋体" w:hAnsi="宋体"/>
                <w:color w:val="auto"/>
                <w:szCs w:val="21"/>
                <w:highlight w:val="none"/>
              </w:rPr>
              <w:t>行程：南宁-昆明</w:t>
            </w:r>
          </w:p>
          <w:p>
            <w:pPr>
              <w:spacing w:line="400" w:lineRule="exact"/>
              <w:rPr>
                <w:rFonts w:ascii="宋体" w:hAnsi="宋体"/>
                <w:color w:val="auto"/>
                <w:szCs w:val="21"/>
                <w:highlight w:val="none"/>
              </w:rPr>
            </w:pPr>
            <w:r>
              <w:rPr>
                <w:rFonts w:hint="eastAsia" w:ascii="宋体" w:hAnsi="宋体"/>
                <w:color w:val="auto"/>
                <w:szCs w:val="21"/>
                <w:highlight w:val="none"/>
              </w:rPr>
              <w:t>出行方式：动车（4.5-5H)</w:t>
            </w:r>
            <w:r>
              <w:rPr>
                <w:rFonts w:hint="eastAsia" w:ascii="宋体" w:hAnsi="宋体"/>
                <w:color w:val="auto"/>
                <w:szCs w:val="21"/>
                <w:highlight w:val="none"/>
              </w:rPr>
              <w:tab/>
            </w:r>
          </w:p>
          <w:p>
            <w:pPr>
              <w:spacing w:line="400" w:lineRule="exact"/>
              <w:rPr>
                <w:rFonts w:ascii="宋体" w:hAnsi="宋体"/>
                <w:color w:val="auto"/>
                <w:szCs w:val="21"/>
                <w:highlight w:val="none"/>
              </w:rPr>
            </w:pPr>
            <w:r>
              <w:rPr>
                <w:rFonts w:hint="eastAsia" w:ascii="宋体" w:hAnsi="宋体"/>
                <w:color w:val="auto"/>
                <w:szCs w:val="21"/>
                <w:highlight w:val="none"/>
              </w:rPr>
              <w:t>住宿标准：惠玥温德姆酒店</w:t>
            </w:r>
          </w:p>
          <w:p>
            <w:pPr>
              <w:spacing w:line="400" w:lineRule="exact"/>
              <w:rPr>
                <w:rFonts w:ascii="宋体" w:hAnsi="宋体" w:cs="宋体"/>
                <w:color w:val="auto"/>
                <w:szCs w:val="21"/>
                <w:highlight w:val="none"/>
                <w:lang w:bidi="ar"/>
              </w:rPr>
            </w:pPr>
            <w:r>
              <w:rPr>
                <w:rFonts w:hint="eastAsia" w:ascii="宋体" w:hAnsi="宋体"/>
                <w:color w:val="auto"/>
                <w:szCs w:val="21"/>
                <w:highlight w:val="none"/>
              </w:rPr>
              <w:t>出发地址：</w:t>
            </w:r>
            <w:r>
              <w:rPr>
                <w:rFonts w:hint="eastAsia" w:ascii="宋体" w:hAnsi="宋体" w:cs="宋体"/>
                <w:color w:val="auto"/>
                <w:szCs w:val="21"/>
                <w:highlight w:val="none"/>
                <w:lang w:bidi="ar"/>
              </w:rPr>
              <w:t>南宁市兴宁区望州南路132号</w:t>
            </w:r>
          </w:p>
          <w:p>
            <w:pPr>
              <w:pStyle w:val="17"/>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早餐：纯牛奶一盒+面包一个</w:t>
            </w:r>
          </w:p>
          <w:p>
            <w:pPr>
              <w:pStyle w:val="17"/>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中餐：昆明老滇山寨</w:t>
            </w:r>
          </w:p>
          <w:p>
            <w:pPr>
              <w:pStyle w:val="17"/>
              <w:rPr>
                <w:rFonts w:ascii="宋体" w:hAnsi="宋体" w:eastAsia="宋体" w:cs="Times New Roman"/>
                <w:color w:val="auto"/>
                <w:sz w:val="21"/>
                <w:szCs w:val="21"/>
                <w:highlight w:val="none"/>
                <w14:ligatures w14:val="none"/>
              </w:rPr>
            </w:pPr>
            <w:r>
              <w:rPr>
                <w:rFonts w:hint="eastAsia" w:ascii="宋体" w:hAnsi="宋体" w:eastAsia="宋体" w:cs="Times New Roman"/>
                <w:color w:val="auto"/>
                <w:sz w:val="21"/>
                <w:szCs w:val="21"/>
                <w:highlight w:val="none"/>
                <w14:ligatures w14:val="none"/>
              </w:rPr>
              <w:t>晚餐：昆明老滇山寨</w:t>
            </w:r>
          </w:p>
          <w:p>
            <w:pPr>
              <w:spacing w:line="400" w:lineRule="exact"/>
              <w:rPr>
                <w:rFonts w:ascii="宋体" w:hAnsi="宋体"/>
                <w:color w:val="auto"/>
                <w:szCs w:val="21"/>
                <w:highlight w:val="none"/>
              </w:rPr>
            </w:pPr>
          </w:p>
          <w:p>
            <w:pPr>
              <w:spacing w:line="400" w:lineRule="exact"/>
              <w:rPr>
                <w:rFonts w:ascii="宋体" w:hAnsi="宋体"/>
                <w:b/>
                <w:bCs/>
                <w:color w:val="auto"/>
                <w:szCs w:val="21"/>
                <w:highlight w:val="none"/>
              </w:rPr>
            </w:pPr>
            <w:r>
              <w:rPr>
                <w:rFonts w:hint="eastAsia" w:ascii="宋体" w:hAnsi="宋体"/>
                <w:b/>
                <w:bCs/>
                <w:color w:val="auto"/>
                <w:szCs w:val="21"/>
                <w:highlight w:val="none"/>
              </w:rPr>
              <w:t>D2:</w:t>
            </w:r>
          </w:p>
          <w:p>
            <w:pPr>
              <w:spacing w:line="400" w:lineRule="exact"/>
              <w:rPr>
                <w:rFonts w:ascii="宋体" w:hAnsi="宋体"/>
                <w:color w:val="auto"/>
                <w:szCs w:val="21"/>
                <w:highlight w:val="none"/>
              </w:rPr>
            </w:pPr>
            <w:r>
              <w:rPr>
                <w:rFonts w:hint="eastAsia" w:ascii="宋体" w:hAnsi="宋体"/>
                <w:color w:val="auto"/>
                <w:szCs w:val="21"/>
                <w:highlight w:val="none"/>
              </w:rPr>
              <w:t>行程：昆明下榻酒店-滇池海埂大坝-昆明下榻酒店-陆军讲武堂-翠湖-昆明下榻酒店</w:t>
            </w:r>
          </w:p>
          <w:p>
            <w:pPr>
              <w:spacing w:line="400" w:lineRule="exact"/>
              <w:rPr>
                <w:rFonts w:ascii="宋体" w:hAnsi="宋体"/>
                <w:color w:val="auto"/>
                <w:szCs w:val="21"/>
                <w:highlight w:val="none"/>
              </w:rPr>
            </w:pPr>
            <w:r>
              <w:rPr>
                <w:rFonts w:hint="eastAsia" w:ascii="宋体" w:hAnsi="宋体"/>
                <w:color w:val="auto"/>
                <w:szCs w:val="21"/>
                <w:highlight w:val="none"/>
              </w:rPr>
              <w:t>出行方式：旅游大巴</w:t>
            </w:r>
          </w:p>
          <w:p>
            <w:pPr>
              <w:spacing w:line="400" w:lineRule="exact"/>
              <w:rPr>
                <w:rFonts w:ascii="宋体" w:hAnsi="宋体"/>
                <w:color w:val="auto"/>
                <w:szCs w:val="21"/>
                <w:highlight w:val="none"/>
              </w:rPr>
            </w:pPr>
            <w:r>
              <w:rPr>
                <w:rFonts w:hint="eastAsia" w:ascii="宋体" w:hAnsi="宋体"/>
                <w:color w:val="auto"/>
                <w:szCs w:val="21"/>
                <w:highlight w:val="none"/>
              </w:rPr>
              <w:t>住宿标准：惠玥温德姆酒店</w:t>
            </w:r>
          </w:p>
          <w:p>
            <w:pPr>
              <w:spacing w:line="400" w:lineRule="exact"/>
              <w:rPr>
                <w:rFonts w:ascii="宋体" w:hAnsi="宋体"/>
                <w:color w:val="auto"/>
                <w:szCs w:val="21"/>
                <w:highlight w:val="none"/>
              </w:rPr>
            </w:pPr>
            <w:r>
              <w:rPr>
                <w:rFonts w:hint="eastAsia" w:ascii="宋体" w:hAnsi="宋体"/>
                <w:color w:val="auto"/>
                <w:szCs w:val="21"/>
                <w:highlight w:val="none"/>
              </w:rPr>
              <w:t>早餐：酒店自助</w:t>
            </w:r>
          </w:p>
          <w:p>
            <w:pPr>
              <w:spacing w:line="400" w:lineRule="exact"/>
              <w:rPr>
                <w:rFonts w:ascii="宋体" w:hAnsi="宋体"/>
                <w:color w:val="auto"/>
                <w:szCs w:val="21"/>
                <w:highlight w:val="none"/>
              </w:rPr>
            </w:pPr>
            <w:r>
              <w:rPr>
                <w:rFonts w:hint="eastAsia" w:ascii="宋体" w:hAnsi="宋体"/>
                <w:color w:val="auto"/>
                <w:szCs w:val="21"/>
                <w:highlight w:val="none"/>
              </w:rPr>
              <w:t>中餐：社会餐厅</w:t>
            </w:r>
          </w:p>
          <w:p>
            <w:pPr>
              <w:spacing w:line="400" w:lineRule="exact"/>
              <w:rPr>
                <w:rFonts w:ascii="宋体" w:hAnsi="宋体"/>
                <w:color w:val="auto"/>
                <w:szCs w:val="21"/>
                <w:highlight w:val="none"/>
              </w:rPr>
            </w:pPr>
            <w:r>
              <w:rPr>
                <w:rFonts w:hint="eastAsia" w:ascii="宋体" w:hAnsi="宋体"/>
                <w:color w:val="auto"/>
                <w:szCs w:val="21"/>
                <w:highlight w:val="none"/>
              </w:rPr>
              <w:t>晚餐：昆明茯慕餐厅</w:t>
            </w:r>
          </w:p>
          <w:p>
            <w:pPr>
              <w:spacing w:line="400" w:lineRule="exact"/>
              <w:rPr>
                <w:rFonts w:ascii="宋体" w:hAnsi="宋体"/>
                <w:color w:val="auto"/>
                <w:szCs w:val="21"/>
                <w:highlight w:val="none"/>
              </w:rPr>
            </w:pPr>
          </w:p>
          <w:p>
            <w:pPr>
              <w:spacing w:line="400" w:lineRule="exact"/>
              <w:rPr>
                <w:rFonts w:ascii="宋体" w:hAnsi="宋体"/>
                <w:b/>
                <w:bCs/>
                <w:color w:val="auto"/>
                <w:szCs w:val="21"/>
                <w:highlight w:val="none"/>
              </w:rPr>
            </w:pPr>
            <w:r>
              <w:rPr>
                <w:rFonts w:hint="eastAsia" w:ascii="宋体" w:hAnsi="宋体"/>
                <w:b/>
                <w:bCs/>
                <w:color w:val="auto"/>
                <w:szCs w:val="21"/>
                <w:highlight w:val="none"/>
              </w:rPr>
              <w:t>D3:</w:t>
            </w:r>
          </w:p>
          <w:p>
            <w:pPr>
              <w:spacing w:line="400" w:lineRule="exact"/>
              <w:rPr>
                <w:rFonts w:ascii="宋体" w:hAnsi="宋体"/>
                <w:color w:val="auto"/>
                <w:szCs w:val="21"/>
                <w:highlight w:val="none"/>
              </w:rPr>
            </w:pPr>
            <w:r>
              <w:rPr>
                <w:rFonts w:hint="eastAsia" w:ascii="宋体" w:hAnsi="宋体"/>
                <w:color w:val="auto"/>
                <w:szCs w:val="21"/>
                <w:highlight w:val="none"/>
              </w:rPr>
              <w:t>行程：昆明下榻酒店-大理-大理古城-大理下榻酒店</w:t>
            </w:r>
          </w:p>
          <w:p>
            <w:pPr>
              <w:spacing w:line="400" w:lineRule="exact"/>
              <w:rPr>
                <w:rFonts w:ascii="宋体" w:hAnsi="宋体"/>
                <w:color w:val="auto"/>
                <w:szCs w:val="21"/>
                <w:highlight w:val="none"/>
              </w:rPr>
            </w:pPr>
            <w:r>
              <w:rPr>
                <w:rFonts w:hint="eastAsia" w:ascii="宋体" w:hAnsi="宋体"/>
                <w:color w:val="auto"/>
                <w:szCs w:val="21"/>
                <w:highlight w:val="none"/>
              </w:rPr>
              <w:t>出行方式：动车（2.5-3H）</w:t>
            </w:r>
          </w:p>
          <w:p>
            <w:pPr>
              <w:spacing w:line="400" w:lineRule="exact"/>
              <w:rPr>
                <w:rFonts w:ascii="宋体" w:hAnsi="宋体"/>
                <w:color w:val="auto"/>
                <w:szCs w:val="21"/>
                <w:highlight w:val="none"/>
              </w:rPr>
            </w:pPr>
            <w:r>
              <w:rPr>
                <w:rFonts w:hint="eastAsia" w:ascii="宋体" w:hAnsi="宋体"/>
                <w:color w:val="auto"/>
                <w:szCs w:val="21"/>
                <w:highlight w:val="none"/>
              </w:rPr>
              <w:t>住宿标准：惠玥温德姆酒店</w:t>
            </w:r>
          </w:p>
          <w:p>
            <w:pPr>
              <w:spacing w:line="400" w:lineRule="exact"/>
              <w:rPr>
                <w:rFonts w:ascii="宋体" w:hAnsi="宋体"/>
                <w:color w:val="auto"/>
                <w:szCs w:val="21"/>
                <w:highlight w:val="none"/>
              </w:rPr>
            </w:pPr>
            <w:r>
              <w:rPr>
                <w:rFonts w:hint="eastAsia" w:ascii="宋体" w:hAnsi="宋体"/>
                <w:color w:val="auto"/>
                <w:szCs w:val="21"/>
                <w:highlight w:val="none"/>
              </w:rPr>
              <w:t>早餐：酒店自助</w:t>
            </w:r>
          </w:p>
          <w:p>
            <w:pPr>
              <w:spacing w:line="400" w:lineRule="exact"/>
              <w:rPr>
                <w:rFonts w:ascii="宋体" w:hAnsi="宋体"/>
                <w:color w:val="auto"/>
                <w:szCs w:val="21"/>
                <w:highlight w:val="none"/>
              </w:rPr>
            </w:pPr>
            <w:r>
              <w:rPr>
                <w:rFonts w:hint="eastAsia" w:ascii="宋体" w:hAnsi="宋体"/>
                <w:color w:val="auto"/>
                <w:szCs w:val="21"/>
                <w:highlight w:val="none"/>
              </w:rPr>
              <w:t>中餐：大理特色鲜花宴</w:t>
            </w:r>
          </w:p>
          <w:p>
            <w:pPr>
              <w:spacing w:line="400" w:lineRule="exact"/>
              <w:rPr>
                <w:rFonts w:ascii="宋体" w:hAnsi="宋体"/>
                <w:color w:val="auto"/>
                <w:szCs w:val="21"/>
                <w:highlight w:val="none"/>
              </w:rPr>
            </w:pPr>
            <w:r>
              <w:rPr>
                <w:rFonts w:hint="eastAsia" w:ascii="宋体" w:hAnsi="宋体"/>
                <w:color w:val="auto"/>
                <w:szCs w:val="21"/>
                <w:highlight w:val="none"/>
              </w:rPr>
              <w:t>晚餐：红酒晚宴</w:t>
            </w:r>
          </w:p>
          <w:p>
            <w:pPr>
              <w:spacing w:line="400" w:lineRule="exact"/>
              <w:rPr>
                <w:rFonts w:ascii="宋体" w:hAnsi="宋体"/>
                <w:color w:val="auto"/>
                <w:szCs w:val="21"/>
                <w:highlight w:val="none"/>
              </w:rPr>
            </w:pPr>
          </w:p>
          <w:p>
            <w:pPr>
              <w:spacing w:line="400" w:lineRule="exact"/>
              <w:rPr>
                <w:rFonts w:ascii="宋体" w:hAnsi="宋体"/>
                <w:b/>
                <w:bCs/>
                <w:color w:val="auto"/>
                <w:szCs w:val="21"/>
                <w:highlight w:val="none"/>
              </w:rPr>
            </w:pPr>
            <w:r>
              <w:rPr>
                <w:rFonts w:ascii="宋体" w:hAnsi="宋体"/>
                <w:b/>
                <w:bCs/>
                <w:color w:val="auto"/>
                <w:szCs w:val="21"/>
                <w:highlight w:val="none"/>
              </w:rPr>
              <w:t>D4</w:t>
            </w:r>
            <w:r>
              <w:rPr>
                <w:rFonts w:hint="eastAsia" w:ascii="宋体" w:hAnsi="宋体"/>
                <w:b/>
                <w:bCs/>
                <w:color w:val="auto"/>
                <w:szCs w:val="21"/>
                <w:highlight w:val="none"/>
              </w:rPr>
              <w:t>:</w:t>
            </w:r>
          </w:p>
          <w:p>
            <w:pPr>
              <w:spacing w:line="400" w:lineRule="exact"/>
              <w:rPr>
                <w:rFonts w:ascii="宋体" w:hAnsi="宋体"/>
                <w:color w:val="auto"/>
                <w:szCs w:val="21"/>
                <w:highlight w:val="none"/>
              </w:rPr>
            </w:pPr>
            <w:r>
              <w:rPr>
                <w:rFonts w:hint="eastAsia" w:ascii="宋体" w:hAnsi="宋体"/>
                <w:color w:val="auto"/>
                <w:szCs w:val="21"/>
                <w:highlight w:val="none"/>
              </w:rPr>
              <w:t>行程：大理下榻酒店-洱海双廊-磻溪村S弯-大理下榻酒店</w:t>
            </w:r>
          </w:p>
          <w:p>
            <w:pPr>
              <w:spacing w:line="400" w:lineRule="exact"/>
              <w:rPr>
                <w:rFonts w:ascii="宋体" w:hAnsi="宋体"/>
                <w:color w:val="auto"/>
                <w:szCs w:val="21"/>
                <w:highlight w:val="none"/>
              </w:rPr>
            </w:pPr>
            <w:r>
              <w:rPr>
                <w:rFonts w:hint="eastAsia" w:ascii="宋体" w:hAnsi="宋体"/>
                <w:color w:val="auto"/>
                <w:szCs w:val="21"/>
                <w:highlight w:val="none"/>
              </w:rPr>
              <w:t>出行方式：旅游大巴/景区电瓶车</w:t>
            </w:r>
          </w:p>
          <w:p>
            <w:pPr>
              <w:spacing w:line="400" w:lineRule="exact"/>
              <w:rPr>
                <w:rFonts w:ascii="宋体" w:hAnsi="宋体"/>
                <w:color w:val="auto"/>
                <w:szCs w:val="21"/>
                <w:highlight w:val="none"/>
              </w:rPr>
            </w:pPr>
            <w:r>
              <w:rPr>
                <w:rFonts w:hint="eastAsia" w:ascii="宋体" w:hAnsi="宋体"/>
                <w:color w:val="auto"/>
                <w:szCs w:val="21"/>
                <w:highlight w:val="none"/>
              </w:rPr>
              <w:t>早餐：酒店自助</w:t>
            </w:r>
          </w:p>
          <w:p>
            <w:pPr>
              <w:spacing w:line="400" w:lineRule="exact"/>
              <w:rPr>
                <w:rFonts w:ascii="宋体" w:hAnsi="宋体"/>
                <w:color w:val="auto"/>
                <w:szCs w:val="21"/>
                <w:highlight w:val="none"/>
              </w:rPr>
            </w:pPr>
            <w:r>
              <w:rPr>
                <w:rFonts w:hint="eastAsia" w:ascii="宋体" w:hAnsi="宋体"/>
                <w:color w:val="auto"/>
                <w:szCs w:val="21"/>
                <w:highlight w:val="none"/>
              </w:rPr>
              <w:t>中餐：特色南涧跳菜</w:t>
            </w:r>
          </w:p>
          <w:p>
            <w:pPr>
              <w:spacing w:line="400" w:lineRule="exact"/>
              <w:rPr>
                <w:rFonts w:ascii="宋体" w:hAnsi="宋体"/>
                <w:color w:val="auto"/>
                <w:szCs w:val="21"/>
                <w:highlight w:val="none"/>
              </w:rPr>
            </w:pPr>
            <w:r>
              <w:rPr>
                <w:rFonts w:hint="eastAsia" w:ascii="宋体" w:hAnsi="宋体"/>
                <w:color w:val="auto"/>
                <w:szCs w:val="21"/>
                <w:highlight w:val="none"/>
              </w:rPr>
              <w:t>晚餐：大理万禧楼</w:t>
            </w:r>
          </w:p>
          <w:p>
            <w:pPr>
              <w:spacing w:line="400" w:lineRule="exact"/>
              <w:rPr>
                <w:rFonts w:ascii="宋体" w:hAnsi="宋体"/>
                <w:color w:val="auto"/>
                <w:szCs w:val="21"/>
                <w:highlight w:val="none"/>
              </w:rPr>
            </w:pPr>
          </w:p>
          <w:p>
            <w:pPr>
              <w:spacing w:line="400" w:lineRule="exact"/>
              <w:rPr>
                <w:rFonts w:ascii="宋体" w:hAnsi="宋体"/>
                <w:b/>
                <w:bCs/>
                <w:color w:val="auto"/>
                <w:szCs w:val="21"/>
                <w:highlight w:val="none"/>
              </w:rPr>
            </w:pPr>
            <w:r>
              <w:rPr>
                <w:rFonts w:hint="eastAsia" w:ascii="宋体" w:hAnsi="宋体"/>
                <w:b/>
                <w:bCs/>
                <w:color w:val="auto"/>
                <w:szCs w:val="21"/>
                <w:highlight w:val="none"/>
              </w:rPr>
              <w:t>D5:</w:t>
            </w:r>
          </w:p>
          <w:p>
            <w:pPr>
              <w:spacing w:line="400" w:lineRule="exact"/>
              <w:rPr>
                <w:rFonts w:ascii="宋体" w:hAnsi="宋体"/>
                <w:color w:val="auto"/>
                <w:szCs w:val="21"/>
                <w:highlight w:val="none"/>
              </w:rPr>
            </w:pPr>
            <w:r>
              <w:rPr>
                <w:rFonts w:hint="eastAsia" w:ascii="宋体" w:hAnsi="宋体"/>
                <w:color w:val="auto"/>
                <w:szCs w:val="21"/>
                <w:highlight w:val="none"/>
              </w:rPr>
              <w:t>行程：大理下榻酒店-丽江下榻酒店-丽江红军长征过丽江指挥部纪念馆-丽江古城-丽江下榻酒店</w:t>
            </w:r>
          </w:p>
          <w:p>
            <w:pPr>
              <w:spacing w:line="400" w:lineRule="exact"/>
              <w:rPr>
                <w:rFonts w:ascii="宋体" w:hAnsi="宋体"/>
                <w:color w:val="auto"/>
                <w:szCs w:val="21"/>
                <w:highlight w:val="none"/>
              </w:rPr>
            </w:pPr>
            <w:r>
              <w:rPr>
                <w:rFonts w:hint="eastAsia" w:ascii="宋体" w:hAnsi="宋体"/>
                <w:color w:val="auto"/>
                <w:szCs w:val="21"/>
                <w:highlight w:val="none"/>
              </w:rPr>
              <w:t>出行方式：旅游大巴（2.5-3H）</w:t>
            </w:r>
          </w:p>
          <w:p>
            <w:pPr>
              <w:spacing w:line="400" w:lineRule="exact"/>
              <w:rPr>
                <w:rFonts w:ascii="宋体" w:hAnsi="宋体"/>
                <w:color w:val="auto"/>
                <w:szCs w:val="21"/>
                <w:highlight w:val="none"/>
              </w:rPr>
            </w:pPr>
            <w:r>
              <w:rPr>
                <w:rFonts w:hint="eastAsia" w:ascii="宋体" w:hAnsi="宋体"/>
                <w:color w:val="auto"/>
                <w:szCs w:val="21"/>
                <w:highlight w:val="none"/>
              </w:rPr>
              <w:t>住宿标准：复华丽朗酒店</w:t>
            </w:r>
          </w:p>
          <w:p>
            <w:pPr>
              <w:spacing w:line="400" w:lineRule="exact"/>
              <w:rPr>
                <w:rFonts w:ascii="宋体" w:hAnsi="宋体"/>
                <w:color w:val="auto"/>
                <w:szCs w:val="21"/>
                <w:highlight w:val="none"/>
              </w:rPr>
            </w:pPr>
            <w:r>
              <w:rPr>
                <w:rFonts w:hint="eastAsia" w:ascii="宋体" w:hAnsi="宋体"/>
                <w:color w:val="auto"/>
                <w:szCs w:val="21"/>
                <w:highlight w:val="none"/>
              </w:rPr>
              <w:t>早餐：酒店自助</w:t>
            </w:r>
          </w:p>
          <w:p>
            <w:pPr>
              <w:spacing w:line="400" w:lineRule="exact"/>
              <w:rPr>
                <w:rFonts w:ascii="宋体" w:hAnsi="宋体"/>
                <w:color w:val="auto"/>
                <w:szCs w:val="21"/>
                <w:highlight w:val="none"/>
              </w:rPr>
            </w:pPr>
            <w:r>
              <w:rPr>
                <w:rFonts w:hint="eastAsia" w:ascii="宋体" w:hAnsi="宋体"/>
                <w:color w:val="auto"/>
                <w:szCs w:val="21"/>
                <w:highlight w:val="none"/>
              </w:rPr>
              <w:t>中餐：土道家</w:t>
            </w:r>
          </w:p>
          <w:p>
            <w:pPr>
              <w:spacing w:line="400" w:lineRule="exact"/>
              <w:rPr>
                <w:rFonts w:ascii="宋体" w:hAnsi="宋体"/>
                <w:color w:val="auto"/>
                <w:szCs w:val="21"/>
                <w:highlight w:val="none"/>
              </w:rPr>
            </w:pPr>
            <w:r>
              <w:rPr>
                <w:rFonts w:hint="eastAsia" w:ascii="宋体" w:hAnsi="宋体"/>
                <w:color w:val="auto"/>
                <w:szCs w:val="21"/>
                <w:highlight w:val="none"/>
              </w:rPr>
              <w:t>晚餐：土道家</w:t>
            </w:r>
          </w:p>
          <w:p>
            <w:pPr>
              <w:spacing w:line="400" w:lineRule="exact"/>
              <w:rPr>
                <w:rFonts w:ascii="宋体" w:hAnsi="宋体"/>
                <w:color w:val="auto"/>
                <w:szCs w:val="21"/>
                <w:highlight w:val="none"/>
              </w:rPr>
            </w:pPr>
          </w:p>
          <w:p>
            <w:pPr>
              <w:spacing w:line="400" w:lineRule="exact"/>
              <w:rPr>
                <w:rFonts w:ascii="宋体" w:hAnsi="宋体"/>
                <w:b/>
                <w:bCs/>
                <w:color w:val="auto"/>
                <w:szCs w:val="21"/>
                <w:highlight w:val="none"/>
              </w:rPr>
            </w:pPr>
            <w:r>
              <w:rPr>
                <w:rFonts w:hint="eastAsia" w:ascii="宋体" w:hAnsi="宋体"/>
                <w:b/>
                <w:bCs/>
                <w:color w:val="auto"/>
                <w:szCs w:val="21"/>
                <w:highlight w:val="none"/>
              </w:rPr>
              <w:t>D6:</w:t>
            </w:r>
          </w:p>
          <w:p>
            <w:pPr>
              <w:spacing w:line="400" w:lineRule="exact"/>
              <w:rPr>
                <w:rFonts w:ascii="宋体" w:hAnsi="宋体"/>
                <w:color w:val="auto"/>
                <w:szCs w:val="21"/>
                <w:highlight w:val="none"/>
              </w:rPr>
            </w:pPr>
            <w:r>
              <w:rPr>
                <w:rFonts w:hint="eastAsia" w:ascii="宋体" w:hAnsi="宋体"/>
                <w:color w:val="auto"/>
                <w:szCs w:val="21"/>
                <w:highlight w:val="none"/>
              </w:rPr>
              <w:t>行程：丽江下榻酒店-蓝月谷-丽江下榻酒店</w:t>
            </w:r>
          </w:p>
          <w:p>
            <w:pPr>
              <w:spacing w:line="400" w:lineRule="exact"/>
              <w:rPr>
                <w:rFonts w:ascii="宋体" w:hAnsi="宋体"/>
                <w:color w:val="auto"/>
                <w:szCs w:val="21"/>
                <w:highlight w:val="none"/>
              </w:rPr>
            </w:pPr>
            <w:r>
              <w:rPr>
                <w:rFonts w:hint="eastAsia" w:ascii="宋体" w:hAnsi="宋体"/>
                <w:color w:val="auto"/>
                <w:szCs w:val="21"/>
                <w:highlight w:val="none"/>
              </w:rPr>
              <w:t>出行方式：景区观光车</w:t>
            </w:r>
          </w:p>
          <w:p>
            <w:pPr>
              <w:spacing w:line="400" w:lineRule="exact"/>
              <w:rPr>
                <w:rFonts w:ascii="宋体" w:hAnsi="宋体"/>
                <w:color w:val="auto"/>
                <w:szCs w:val="21"/>
                <w:highlight w:val="none"/>
              </w:rPr>
            </w:pPr>
            <w:r>
              <w:rPr>
                <w:rFonts w:hint="eastAsia" w:ascii="宋体" w:hAnsi="宋体"/>
                <w:color w:val="auto"/>
                <w:szCs w:val="21"/>
                <w:highlight w:val="none"/>
              </w:rPr>
              <w:t>丽江-蓝月谷</w:t>
            </w:r>
            <w:r>
              <w:rPr>
                <w:rFonts w:hint="eastAsia" w:ascii="宋体" w:hAnsi="宋体"/>
                <w:color w:val="auto"/>
                <w:szCs w:val="21"/>
                <w:highlight w:val="none"/>
              </w:rPr>
              <w:tab/>
            </w:r>
            <w:r>
              <w:rPr>
                <w:rFonts w:hint="eastAsia" w:ascii="宋体" w:hAnsi="宋体"/>
                <w:color w:val="auto"/>
                <w:szCs w:val="21"/>
                <w:highlight w:val="none"/>
              </w:rPr>
              <w:t>复华丽朗酒店</w:t>
            </w:r>
          </w:p>
          <w:p>
            <w:pPr>
              <w:spacing w:line="400" w:lineRule="exact"/>
              <w:rPr>
                <w:rFonts w:ascii="宋体" w:hAnsi="宋体"/>
                <w:color w:val="auto"/>
                <w:szCs w:val="21"/>
                <w:highlight w:val="none"/>
              </w:rPr>
            </w:pPr>
            <w:r>
              <w:rPr>
                <w:rFonts w:hint="eastAsia" w:ascii="宋体" w:hAnsi="宋体"/>
                <w:color w:val="auto"/>
                <w:szCs w:val="21"/>
                <w:highlight w:val="none"/>
              </w:rPr>
              <w:t>早餐：酒店自助</w:t>
            </w:r>
          </w:p>
          <w:p>
            <w:pPr>
              <w:spacing w:line="400" w:lineRule="exact"/>
              <w:rPr>
                <w:rFonts w:ascii="宋体" w:hAnsi="宋体"/>
                <w:color w:val="auto"/>
                <w:szCs w:val="21"/>
                <w:highlight w:val="none"/>
              </w:rPr>
            </w:pPr>
            <w:r>
              <w:rPr>
                <w:rFonts w:hint="eastAsia" w:ascii="宋体" w:hAnsi="宋体"/>
                <w:color w:val="auto"/>
                <w:szCs w:val="21"/>
                <w:highlight w:val="none"/>
              </w:rPr>
              <w:t>中餐：三味鲜餐厅</w:t>
            </w:r>
          </w:p>
          <w:p>
            <w:pPr>
              <w:spacing w:line="400" w:lineRule="exact"/>
              <w:rPr>
                <w:rFonts w:ascii="宋体" w:hAnsi="宋体"/>
                <w:color w:val="auto"/>
                <w:szCs w:val="21"/>
                <w:highlight w:val="none"/>
              </w:rPr>
            </w:pPr>
            <w:r>
              <w:rPr>
                <w:rFonts w:hint="eastAsia" w:ascii="宋体" w:hAnsi="宋体"/>
                <w:color w:val="auto"/>
                <w:szCs w:val="21"/>
                <w:highlight w:val="none"/>
              </w:rPr>
              <w:t>晚餐：朗卡土司宴</w:t>
            </w:r>
          </w:p>
          <w:p>
            <w:pPr>
              <w:spacing w:line="400" w:lineRule="exact"/>
              <w:rPr>
                <w:rFonts w:ascii="宋体" w:hAnsi="宋体"/>
                <w:color w:val="auto"/>
                <w:szCs w:val="21"/>
                <w:highlight w:val="none"/>
              </w:rPr>
            </w:pPr>
          </w:p>
          <w:p>
            <w:pPr>
              <w:spacing w:line="400" w:lineRule="exact"/>
              <w:rPr>
                <w:rFonts w:ascii="宋体" w:hAnsi="宋体"/>
                <w:b/>
                <w:bCs/>
                <w:color w:val="auto"/>
                <w:szCs w:val="21"/>
                <w:highlight w:val="none"/>
              </w:rPr>
            </w:pPr>
            <w:r>
              <w:rPr>
                <w:rFonts w:hint="eastAsia" w:ascii="宋体" w:hAnsi="宋体"/>
                <w:b/>
                <w:bCs/>
                <w:color w:val="auto"/>
                <w:szCs w:val="21"/>
                <w:highlight w:val="none"/>
              </w:rPr>
              <w:t>D7:</w:t>
            </w:r>
          </w:p>
          <w:p>
            <w:pPr>
              <w:spacing w:line="400" w:lineRule="exact"/>
              <w:rPr>
                <w:rFonts w:ascii="宋体" w:hAnsi="宋体"/>
                <w:color w:val="auto"/>
                <w:szCs w:val="21"/>
                <w:highlight w:val="none"/>
              </w:rPr>
            </w:pPr>
            <w:r>
              <w:rPr>
                <w:rFonts w:hint="eastAsia" w:ascii="宋体" w:hAnsi="宋体"/>
                <w:color w:val="auto"/>
                <w:szCs w:val="21"/>
                <w:highlight w:val="none"/>
              </w:rPr>
              <w:t>行程：丽江下榻酒店-南宁东</w:t>
            </w:r>
          </w:p>
          <w:p>
            <w:pPr>
              <w:spacing w:line="400" w:lineRule="exact"/>
              <w:rPr>
                <w:rFonts w:ascii="宋体" w:hAnsi="宋体"/>
                <w:color w:val="auto"/>
                <w:szCs w:val="21"/>
                <w:highlight w:val="none"/>
              </w:rPr>
            </w:pPr>
            <w:r>
              <w:rPr>
                <w:rFonts w:hint="eastAsia" w:ascii="宋体" w:hAnsi="宋体"/>
                <w:color w:val="auto"/>
                <w:szCs w:val="21"/>
                <w:highlight w:val="none"/>
              </w:rPr>
              <w:t>出行方式：动车（8H）</w:t>
            </w:r>
          </w:p>
          <w:p>
            <w:pPr>
              <w:spacing w:line="400" w:lineRule="exact"/>
              <w:rPr>
                <w:rFonts w:ascii="宋体" w:hAnsi="宋体"/>
                <w:color w:val="auto"/>
                <w:szCs w:val="21"/>
                <w:highlight w:val="none"/>
              </w:rPr>
            </w:pPr>
            <w:r>
              <w:rPr>
                <w:rFonts w:hint="eastAsia" w:ascii="宋体" w:hAnsi="宋体"/>
                <w:color w:val="auto"/>
                <w:szCs w:val="21"/>
                <w:highlight w:val="none"/>
              </w:rPr>
              <w:t>早餐：酒店自助</w:t>
            </w:r>
          </w:p>
          <w:p>
            <w:pPr>
              <w:spacing w:line="400" w:lineRule="exact"/>
              <w:rPr>
                <w:rFonts w:ascii="宋体" w:hAnsi="宋体"/>
                <w:color w:val="auto"/>
                <w:szCs w:val="21"/>
                <w:highlight w:val="none"/>
              </w:rPr>
            </w:pPr>
            <w:r>
              <w:rPr>
                <w:rFonts w:hint="eastAsia" w:ascii="宋体" w:hAnsi="宋体"/>
                <w:color w:val="auto"/>
                <w:szCs w:val="21"/>
                <w:highlight w:val="none"/>
              </w:rPr>
              <w:t>中餐：动车盒饭</w:t>
            </w:r>
          </w:p>
          <w:p>
            <w:pPr>
              <w:spacing w:line="400" w:lineRule="exact"/>
              <w:rPr>
                <w:rFonts w:ascii="宋体" w:hAnsi="宋体"/>
                <w:color w:val="auto"/>
                <w:szCs w:val="21"/>
                <w:highlight w:val="none"/>
              </w:rPr>
            </w:pPr>
            <w:r>
              <w:rPr>
                <w:rFonts w:hint="eastAsia" w:ascii="宋体" w:hAnsi="宋体"/>
                <w:color w:val="auto"/>
                <w:szCs w:val="21"/>
                <w:highlight w:val="none"/>
              </w:rPr>
              <w:t>晚餐：动车盒饭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11"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服务时间及地点</w:t>
            </w:r>
          </w:p>
        </w:tc>
        <w:tc>
          <w:tcPr>
            <w:tcW w:w="856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签订合同时间：自成交通知书发出之日起25日内。</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服务时间：2024年6月30日前完成。</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服务地点：采购需求中指定的地点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报价要求</w:t>
            </w:r>
          </w:p>
        </w:tc>
        <w:tc>
          <w:tcPr>
            <w:tcW w:w="856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1．磋商报价是成交供应商完成本项目的全部服务内容及其相关工作所需的全部费用：应包含（但不限于）与项目相关劳务、票务、住宿、餐饮、交通等各种费用和税金及其它所有成本费用的总和。</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2．特别注明：本次报价为固定总价，在合同执行过程及结算时均不允许变更；采购人不再支付任何费用。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bCs/>
                <w:color w:val="auto"/>
                <w:szCs w:val="21"/>
                <w:highlight w:val="none"/>
              </w:rPr>
              <w:t>服务响应要求</w:t>
            </w:r>
          </w:p>
        </w:tc>
        <w:tc>
          <w:tcPr>
            <w:tcW w:w="856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合同履行过程中，成交供应商需安排人员提供24小时随行服务及电话服务，旅行过程中出现问题能及时做出响应安排及有效处理。成交供应商超时不作出处理或不能作出有效处理的，应承担违约责任，采购人有权要求成交供应商根据损失程度进行赔偿。成交供应商应提供免费热线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投入人员要求</w:t>
            </w:r>
          </w:p>
        </w:tc>
        <w:tc>
          <w:tcPr>
            <w:tcW w:w="8561" w:type="dxa"/>
            <w:gridSpan w:val="4"/>
            <w:tcBorders>
              <w:top w:val="single" w:color="auto" w:sz="4" w:space="0"/>
              <w:left w:val="single" w:color="auto" w:sz="4" w:space="0"/>
              <w:bottom w:val="single" w:color="auto" w:sz="4" w:space="0"/>
              <w:right w:val="single" w:color="auto" w:sz="4" w:space="0"/>
            </w:tcBorders>
            <w:vAlign w:val="center"/>
          </w:tcPr>
          <w:p>
            <w:pPr>
              <w:pStyle w:val="17"/>
              <w:spacing w:line="400" w:lineRule="exac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14:ligatures w14:val="none"/>
              </w:rPr>
              <w:t>出行过程中，随行人员不得少于4人，负责出行过程中提供导游、安全、卫生等服务。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付款条件</w:t>
            </w:r>
          </w:p>
        </w:tc>
        <w:tc>
          <w:tcPr>
            <w:tcW w:w="856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（1）自合同签订之日起十个工作日内，采购人向成交人支付80%合同款；</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（2）成交人按采购人要求完成服务工作，经采购人验收通过后，采购人向成交人支付20%合同款；</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（3）采购人付款后十个工作日内，成交人开具正式等额发票给采购人；</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（4）最终合同支付金额以实际出行人数结算，报名未出行的人员所产生的成本费用由甲乙双方协商确认。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4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olor w:val="auto"/>
                <w:szCs w:val="21"/>
                <w:highlight w:val="none"/>
              </w:rPr>
              <w:t>其他要求</w:t>
            </w:r>
          </w:p>
        </w:tc>
        <w:tc>
          <w:tcPr>
            <w:tcW w:w="8561" w:type="dxa"/>
            <w:gridSpan w:val="4"/>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Arial"/>
                <w:color w:val="auto"/>
                <w:szCs w:val="21"/>
                <w:highlight w:val="none"/>
              </w:rPr>
            </w:pPr>
            <w:r>
              <w:rPr>
                <w:rFonts w:hint="eastAsia" w:ascii="宋体" w:hAnsi="宋体" w:cs="Arial"/>
                <w:color w:val="auto"/>
                <w:szCs w:val="21"/>
                <w:highlight w:val="none"/>
              </w:rPr>
              <w:t>1、供应商必须按照以上内容在响应文件中提供详细、科学、可行的项目服务实施方案。</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Arial"/>
                <w:color w:val="auto"/>
                <w:szCs w:val="21"/>
                <w:highlight w:val="none"/>
              </w:rPr>
              <w:t>2、磋商供应商须确保响应文件中的人员信息真实、有效。成交人不得将项目非法分包或转包给任何单位和个人，否则采购人有权即刻终止合同，并要求成交人赔偿相应损失。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011" w:type="dxa"/>
            <w:gridSpan w:val="6"/>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jc w:val="left"/>
              <w:rPr>
                <w:rFonts w:ascii="宋体" w:hAnsi="宋体" w:cs="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pPr>
              <w:tabs>
                <w:tab w:val="left" w:pos="180"/>
                <w:tab w:val="left" w:pos="1620"/>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未标识‘▲’及未表述为“须”或“必须”的采购项目技术规格、参数及要求。</w:t>
            </w:r>
          </w:p>
        </w:tc>
      </w:tr>
    </w:tbl>
    <w:p>
      <w:pPr>
        <w:rPr>
          <w:rFonts w:ascii="宋体" w:hAnsi="宋体" w:cs="宋体"/>
          <w:b/>
          <w:color w:val="auto"/>
          <w:sz w:val="32"/>
          <w:szCs w:val="32"/>
          <w:highlight w:val="none"/>
        </w:rPr>
      </w:pPr>
      <w:r>
        <w:rPr>
          <w:rFonts w:ascii="宋体" w:hAnsi="宋体" w:cs="宋体"/>
          <w:b/>
          <w:color w:val="auto"/>
          <w:sz w:val="32"/>
          <w:szCs w:val="32"/>
          <w:highlight w:val="none"/>
        </w:rPr>
        <w:br w:type="page"/>
      </w: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spacing w:line="400" w:lineRule="exact"/>
        <w:jc w:val="center"/>
        <w:rPr>
          <w:rFonts w:ascii="宋体" w:hAnsi="宋体" w:cs="宋体"/>
          <w:b/>
          <w:color w:val="auto"/>
          <w:sz w:val="32"/>
          <w:szCs w:val="32"/>
          <w:highlight w:val="none"/>
        </w:rPr>
      </w:pPr>
    </w:p>
    <w:p>
      <w:pPr>
        <w:pStyle w:val="36"/>
        <w:rPr>
          <w:rFonts w:ascii="宋体" w:hAnsi="宋体" w:cs="宋体"/>
          <w:color w:val="auto"/>
          <w:sz w:val="44"/>
          <w:szCs w:val="44"/>
          <w:highlight w:val="none"/>
        </w:rPr>
      </w:pPr>
      <w:bookmarkStart w:id="50" w:name="_Toc476258665"/>
      <w:bookmarkStart w:id="51" w:name="_Toc476258759"/>
      <w:r>
        <w:rPr>
          <w:rFonts w:hint="eastAsia" w:ascii="宋体" w:hAnsi="宋体" w:cs="宋体"/>
          <w:color w:val="auto"/>
          <w:sz w:val="44"/>
          <w:szCs w:val="44"/>
          <w:highlight w:val="none"/>
        </w:rPr>
        <w:t>第四章  竞争性磋商响应文件格式</w:t>
      </w:r>
      <w:bookmarkEnd w:id="50"/>
      <w:bookmarkEnd w:id="51"/>
    </w:p>
    <w:p>
      <w:pPr>
        <w:spacing w:line="500" w:lineRule="exact"/>
        <w:jc w:val="center"/>
        <w:rPr>
          <w:rFonts w:ascii="宋体" w:hAnsi="宋体" w:cs="宋体"/>
          <w:b/>
          <w:color w:val="auto"/>
          <w:sz w:val="32"/>
          <w:szCs w:val="32"/>
          <w:highlight w:val="none"/>
        </w:rPr>
      </w:pPr>
    </w:p>
    <w:p>
      <w:pPr>
        <w:spacing w:line="720" w:lineRule="auto"/>
        <w:jc w:val="center"/>
        <w:rPr>
          <w:rFonts w:ascii="宋体" w:hAnsi="宋体" w:cs="宋体"/>
          <w:b/>
          <w:bCs/>
          <w:color w:val="auto"/>
          <w:sz w:val="30"/>
          <w:szCs w:val="30"/>
          <w:highlight w:val="none"/>
        </w:rPr>
      </w:pPr>
      <w:r>
        <w:rPr>
          <w:rFonts w:hint="eastAsia" w:ascii="宋体" w:hAnsi="宋体" w:cs="宋体"/>
          <w:b/>
          <w:color w:val="auto"/>
          <w:sz w:val="32"/>
          <w:szCs w:val="32"/>
          <w:highlight w:val="none"/>
        </w:rPr>
        <w:br w:type="page"/>
      </w:r>
      <w:r>
        <w:rPr>
          <w:rFonts w:hint="eastAsia" w:ascii="宋体" w:hAnsi="宋体" w:cs="宋体"/>
          <w:b/>
          <w:bCs/>
          <w:color w:val="auto"/>
          <w:sz w:val="30"/>
          <w:szCs w:val="30"/>
          <w:highlight w:val="none"/>
        </w:rPr>
        <w:t>一、</w:t>
      </w:r>
      <w:r>
        <w:rPr>
          <w:rFonts w:hint="eastAsia" w:ascii="宋体" w:hAnsi="宋体" w:cs="宋体"/>
          <w:b/>
          <w:color w:val="auto"/>
          <w:sz w:val="30"/>
          <w:szCs w:val="30"/>
          <w:highlight w:val="none"/>
        </w:rPr>
        <w:t>竞争性磋商响应文件封面</w:t>
      </w:r>
      <w:r>
        <w:rPr>
          <w:rFonts w:hint="eastAsia" w:ascii="宋体" w:hAnsi="宋体" w:cs="宋体"/>
          <w:b/>
          <w:bCs/>
          <w:color w:val="auto"/>
          <w:sz w:val="30"/>
          <w:szCs w:val="30"/>
          <w:highlight w:val="none"/>
        </w:rPr>
        <w:t>格式</w:t>
      </w:r>
    </w:p>
    <w:p>
      <w:pPr>
        <w:spacing w:line="240" w:lineRule="atLeast"/>
        <w:rPr>
          <w:rFonts w:ascii="宋体" w:hAnsi="宋体" w:cs="宋体"/>
          <w:b/>
          <w:color w:val="auto"/>
          <w:sz w:val="32"/>
          <w:szCs w:val="32"/>
          <w:highlight w:val="none"/>
          <w:u w:val="single"/>
        </w:rPr>
      </w:pPr>
    </w:p>
    <w:p>
      <w:pPr>
        <w:spacing w:line="240" w:lineRule="atLeast"/>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r>
        <w:rPr>
          <w:rFonts w:hint="eastAsia" w:ascii="宋体" w:hAnsi="宋体" w:cs="宋体"/>
          <w:b/>
          <w:color w:val="auto"/>
          <w:sz w:val="32"/>
          <w:szCs w:val="32"/>
          <w:highlight w:val="none"/>
        </w:rPr>
        <w:t>本</w:t>
      </w:r>
    </w:p>
    <w:p>
      <w:pPr>
        <w:snapToGrid w:val="0"/>
        <w:spacing w:before="156" w:beforeLines="50" w:after="50" w:line="360" w:lineRule="exact"/>
        <w:ind w:left="8400" w:hanging="8400" w:hangingChars="3000"/>
        <w:rPr>
          <w:rFonts w:ascii="宋体" w:hAnsi="宋体" w:cs="宋体"/>
          <w:bCs/>
          <w:color w:val="auto"/>
          <w:sz w:val="28"/>
          <w:szCs w:val="28"/>
          <w:highlight w:val="none"/>
        </w:rPr>
      </w:pPr>
    </w:p>
    <w:p>
      <w:pPr>
        <w:snapToGrid w:val="0"/>
        <w:spacing w:before="156" w:beforeLines="50" w:after="50" w:line="360" w:lineRule="exact"/>
        <w:jc w:val="center"/>
        <w:rPr>
          <w:rFonts w:ascii="宋体" w:hAnsi="宋体" w:cs="宋体"/>
          <w:bCs/>
          <w:color w:val="auto"/>
          <w:sz w:val="24"/>
          <w:highlight w:val="none"/>
        </w:rPr>
      </w:pPr>
      <w:r>
        <w:rPr>
          <w:rFonts w:hint="eastAsia" w:ascii="宋体" w:hAnsi="宋体" w:cs="宋体"/>
          <w:b/>
          <w:color w:val="auto"/>
          <w:sz w:val="44"/>
          <w:szCs w:val="44"/>
          <w:highlight w:val="none"/>
        </w:rPr>
        <w:t>竞争性磋商响应文件</w:t>
      </w:r>
      <w:r>
        <w:rPr>
          <w:rFonts w:hint="eastAsia" w:ascii="宋体" w:hAnsi="宋体" w:cs="宋体"/>
          <w:color w:val="auto"/>
          <w:sz w:val="28"/>
          <w:szCs w:val="28"/>
          <w:highlight w:val="none"/>
        </w:rPr>
        <w:t>（封面）</w:t>
      </w:r>
    </w:p>
    <w:p>
      <w:pPr>
        <w:spacing w:line="500" w:lineRule="exact"/>
        <w:ind w:firstLine="420" w:firstLineChars="200"/>
        <w:rPr>
          <w:rFonts w:ascii="宋体" w:hAnsi="宋体" w:cs="宋体"/>
          <w:color w:val="auto"/>
          <w:szCs w:val="21"/>
          <w:highlight w:val="none"/>
        </w:rPr>
      </w:pPr>
    </w:p>
    <w:p>
      <w:pPr>
        <w:spacing w:line="500" w:lineRule="exact"/>
        <w:ind w:firstLine="420" w:firstLineChars="200"/>
        <w:rPr>
          <w:rFonts w:ascii="宋体" w:hAnsi="宋体" w:cs="宋体"/>
          <w:color w:val="auto"/>
          <w:szCs w:val="21"/>
          <w:highlight w:val="none"/>
        </w:rPr>
      </w:pPr>
    </w:p>
    <w:p>
      <w:pPr>
        <w:spacing w:line="500" w:lineRule="exact"/>
        <w:ind w:firstLine="420" w:firstLineChars="200"/>
        <w:rPr>
          <w:rFonts w:ascii="宋体" w:hAnsi="宋体" w:cs="宋体"/>
          <w:color w:val="auto"/>
          <w:szCs w:val="21"/>
          <w:highlight w:val="none"/>
        </w:rPr>
      </w:pPr>
    </w:p>
    <w:p>
      <w:pPr>
        <w:spacing w:line="600" w:lineRule="auto"/>
        <w:ind w:firstLine="420" w:firstLineChars="200"/>
        <w:jc w:val="left"/>
        <w:rPr>
          <w:rFonts w:ascii="宋体" w:hAnsi="宋体" w:cs="宋体"/>
          <w:color w:val="auto"/>
          <w:sz w:val="28"/>
          <w:szCs w:val="28"/>
          <w:highlight w:val="none"/>
          <w:u w:val="singl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采购项目名称：</w:t>
      </w:r>
      <w:r>
        <w:rPr>
          <w:rFonts w:hint="eastAsia" w:ascii="宋体" w:hAnsi="宋体" w:cs="宋体"/>
          <w:color w:val="auto"/>
          <w:sz w:val="28"/>
          <w:szCs w:val="28"/>
          <w:highlight w:val="none"/>
          <w:u w:val="single"/>
        </w:rPr>
        <w:t xml:space="preserve">                          </w:t>
      </w:r>
    </w:p>
    <w:p>
      <w:pPr>
        <w:spacing w:line="600" w:lineRule="auto"/>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采购项目编号：</w:t>
      </w:r>
      <w:r>
        <w:rPr>
          <w:rFonts w:hint="eastAsia" w:ascii="宋体" w:hAnsi="宋体" w:cs="宋体"/>
          <w:color w:val="auto"/>
          <w:sz w:val="28"/>
          <w:szCs w:val="28"/>
          <w:highlight w:val="none"/>
          <w:u w:val="single"/>
        </w:rPr>
        <w:t xml:space="preserve">    </w:t>
      </w:r>
      <w:r>
        <w:rPr>
          <w:rFonts w:hint="eastAsia" w:ascii="宋体" w:hAnsi="宋体" w:cs="宋体"/>
          <w:color w:val="auto"/>
          <w:highlight w:val="none"/>
          <w:u w:val="single"/>
        </w:rPr>
        <w:t xml:space="preserve">                             </w:t>
      </w:r>
    </w:p>
    <w:p>
      <w:pPr>
        <w:spacing w:line="600" w:lineRule="auto"/>
        <w:ind w:firstLine="560" w:firstLineChars="200"/>
        <w:rPr>
          <w:rFonts w:ascii="宋体" w:hAnsi="宋体" w:cs="宋体"/>
          <w:color w:val="auto"/>
          <w:sz w:val="28"/>
          <w:szCs w:val="28"/>
          <w:highlight w:val="none"/>
          <w:u w:val="single"/>
        </w:rPr>
      </w:pPr>
      <w:r>
        <w:rPr>
          <w:rFonts w:hint="eastAsia" w:ascii="宋体" w:hAnsi="宋体" w:cs="宋体"/>
          <w:bCs/>
          <w:color w:val="auto"/>
          <w:sz w:val="28"/>
          <w:szCs w:val="28"/>
          <w:highlight w:val="none"/>
        </w:rPr>
        <w:t xml:space="preserve">      分标号（如有）</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 xml:space="preserve">                         </w:t>
      </w:r>
    </w:p>
    <w:p>
      <w:pPr>
        <w:snapToGrid w:val="0"/>
        <w:spacing w:before="156" w:beforeLines="50" w:after="50" w:line="600" w:lineRule="auto"/>
        <w:ind w:firstLine="560" w:firstLineChars="200"/>
        <w:rPr>
          <w:rFonts w:ascii="宋体" w:hAnsi="宋体" w:cs="宋体"/>
          <w:bCs/>
          <w:color w:val="auto"/>
          <w:sz w:val="28"/>
          <w:szCs w:val="28"/>
          <w:highlight w:val="none"/>
        </w:rPr>
      </w:pPr>
      <w:r>
        <w:rPr>
          <w:rFonts w:hint="eastAsia" w:ascii="宋体" w:hAnsi="宋体" w:cs="宋体"/>
          <w:color w:val="auto"/>
          <w:sz w:val="28"/>
          <w:szCs w:val="28"/>
          <w:highlight w:val="none"/>
        </w:rPr>
        <w:t xml:space="preserve">      磋商供应商名称</w:t>
      </w:r>
      <w:r>
        <w:rPr>
          <w:rFonts w:hint="eastAsia" w:ascii="宋体" w:hAnsi="宋体" w:cs="宋体"/>
          <w:bCs/>
          <w:color w:val="auto"/>
          <w:sz w:val="28"/>
          <w:szCs w:val="28"/>
          <w:highlight w:val="none"/>
        </w:rPr>
        <w:t>：</w:t>
      </w:r>
      <w:r>
        <w:rPr>
          <w:rFonts w:hint="eastAsia" w:ascii="宋体" w:hAnsi="宋体" w:cs="宋体"/>
          <w:color w:val="auto"/>
          <w:sz w:val="28"/>
          <w:szCs w:val="28"/>
          <w:highlight w:val="none"/>
          <w:u w:val="single"/>
        </w:rPr>
        <w:t xml:space="preserve">                        </w:t>
      </w:r>
    </w:p>
    <w:p>
      <w:pPr>
        <w:spacing w:line="500" w:lineRule="exact"/>
        <w:jc w:val="center"/>
        <w:rPr>
          <w:rFonts w:ascii="宋体" w:hAnsi="宋体" w:cs="宋体"/>
          <w:color w:val="auto"/>
          <w:szCs w:val="21"/>
          <w:highlight w:val="none"/>
        </w:rPr>
      </w:pPr>
      <w:r>
        <w:rPr>
          <w:rFonts w:hint="eastAsia" w:ascii="宋体" w:hAnsi="宋体" w:cs="宋体"/>
          <w:color w:val="auto"/>
          <w:sz w:val="24"/>
          <w:highlight w:val="none"/>
        </w:rPr>
        <w:t xml:space="preserve">                      </w:t>
      </w:r>
    </w:p>
    <w:p>
      <w:pPr>
        <w:rPr>
          <w:rFonts w:ascii="宋体" w:hAnsi="宋体" w:cs="宋体"/>
          <w:color w:val="auto"/>
          <w:sz w:val="28"/>
          <w:szCs w:val="28"/>
          <w:highlight w:val="none"/>
        </w:rPr>
      </w:pPr>
      <w:r>
        <w:rPr>
          <w:rFonts w:hint="eastAsia" w:ascii="宋体" w:hAnsi="宋体" w:cs="宋体"/>
          <w:color w:val="auto"/>
          <w:highlight w:val="none"/>
        </w:rPr>
        <w:t xml:space="preserve">                                   </w:t>
      </w:r>
      <w:r>
        <w:rPr>
          <w:rFonts w:hint="eastAsia" w:ascii="宋体" w:hAnsi="宋体" w:cs="宋体"/>
          <w:color w:val="auto"/>
          <w:sz w:val="28"/>
          <w:szCs w:val="28"/>
          <w:highlight w:val="none"/>
        </w:rPr>
        <w:t xml:space="preserve">                     年    月    日</w:t>
      </w:r>
    </w:p>
    <w:p>
      <w:pPr>
        <w:spacing w:line="520" w:lineRule="exact"/>
        <w:rPr>
          <w:rFonts w:ascii="宋体" w:hAnsi="宋体" w:cs="宋体"/>
          <w:color w:val="auto"/>
          <w:szCs w:val="21"/>
          <w:highlight w:val="none"/>
        </w:rPr>
      </w:pPr>
    </w:p>
    <w:p>
      <w:pPr>
        <w:spacing w:line="520" w:lineRule="exact"/>
        <w:ind w:firstLine="3767" w:firstLineChars="1340"/>
        <w:rPr>
          <w:rFonts w:ascii="宋体" w:hAnsi="宋体" w:cs="宋体"/>
          <w:b/>
          <w:color w:val="auto"/>
          <w:sz w:val="28"/>
          <w:szCs w:val="28"/>
          <w:highlight w:val="none"/>
        </w:rPr>
      </w:pPr>
    </w:p>
    <w:p>
      <w:pPr>
        <w:spacing w:line="520" w:lineRule="exact"/>
        <w:ind w:firstLine="3767" w:firstLineChars="1340"/>
        <w:rPr>
          <w:rFonts w:ascii="宋体" w:hAnsi="宋体" w:cs="宋体"/>
          <w:b/>
          <w:color w:val="auto"/>
          <w:sz w:val="28"/>
          <w:szCs w:val="28"/>
          <w:highlight w:val="none"/>
        </w:rPr>
      </w:pPr>
    </w:p>
    <w:p>
      <w:pPr>
        <w:spacing w:line="520" w:lineRule="exact"/>
        <w:ind w:firstLine="3767" w:firstLineChars="1340"/>
        <w:rPr>
          <w:rFonts w:ascii="宋体" w:hAnsi="宋体" w:cs="宋体"/>
          <w:b/>
          <w:color w:val="auto"/>
          <w:sz w:val="28"/>
          <w:szCs w:val="28"/>
          <w:highlight w:val="none"/>
        </w:rPr>
      </w:pPr>
    </w:p>
    <w:p>
      <w:pPr>
        <w:spacing w:line="520" w:lineRule="exact"/>
        <w:ind w:firstLine="3767" w:firstLineChars="1340"/>
        <w:rPr>
          <w:rFonts w:ascii="宋体" w:hAnsi="宋体" w:cs="宋体"/>
          <w:b/>
          <w:color w:val="auto"/>
          <w:sz w:val="28"/>
          <w:szCs w:val="28"/>
          <w:highlight w:val="none"/>
        </w:rPr>
      </w:pPr>
    </w:p>
    <w:p>
      <w:pPr>
        <w:spacing w:line="72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二、附  件</w:t>
      </w:r>
    </w:p>
    <w:p>
      <w:pPr>
        <w:spacing w:line="500" w:lineRule="exact"/>
        <w:rPr>
          <w:rFonts w:ascii="宋体" w:hAnsi="宋体" w:cs="宋体"/>
          <w:b/>
          <w:color w:val="auto"/>
          <w:szCs w:val="21"/>
          <w:highlight w:val="none"/>
        </w:rPr>
      </w:pPr>
      <w:r>
        <w:rPr>
          <w:rFonts w:hint="eastAsia" w:ascii="宋体" w:hAnsi="宋体" w:cs="宋体"/>
          <w:b/>
          <w:color w:val="auto"/>
          <w:szCs w:val="21"/>
          <w:highlight w:val="none"/>
        </w:rPr>
        <w:t xml:space="preserve">附件一 </w:t>
      </w: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报  价  表</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采购项目编号: </w:t>
      </w:r>
      <w:r>
        <w:rPr>
          <w:rFonts w:hint="eastAsia" w:ascii="宋体" w:hAnsi="宋体" w:cs="宋体"/>
          <w:color w:val="auto"/>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3671"/>
        <w:gridCol w:w="1479"/>
        <w:gridCol w:w="2871"/>
        <w:gridCol w:w="86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1579" w:hRule="atLeast"/>
          <w:jc w:val="center"/>
        </w:trPr>
        <w:tc>
          <w:tcPr>
            <w:tcW w:w="445" w:type="dxa"/>
            <w:tcBorders>
              <w:bottom w:val="single" w:color="auto" w:sz="4" w:space="0"/>
            </w:tcBorders>
            <w:vAlign w:val="center"/>
          </w:tcPr>
          <w:p>
            <w:pPr>
              <w:pStyle w:val="22"/>
              <w:spacing w:line="400" w:lineRule="exact"/>
              <w:ind w:left="480" w:hanging="480"/>
              <w:jc w:val="center"/>
              <w:rPr>
                <w:rFonts w:hAnsi="宋体" w:cs="宋体"/>
                <w:color w:val="auto"/>
                <w:spacing w:val="-20"/>
                <w:highlight w:val="none"/>
              </w:rPr>
            </w:pPr>
            <w:r>
              <w:rPr>
                <w:rFonts w:hint="eastAsia" w:hAnsi="宋体" w:cs="宋体"/>
                <w:color w:val="auto"/>
                <w:spacing w:val="-20"/>
                <w:highlight w:val="none"/>
              </w:rPr>
              <w:t>序号</w:t>
            </w:r>
          </w:p>
        </w:tc>
        <w:tc>
          <w:tcPr>
            <w:tcW w:w="3671" w:type="dxa"/>
            <w:tcBorders>
              <w:bottom w:val="single" w:color="auto" w:sz="4" w:space="0"/>
            </w:tcBorders>
            <w:vAlign w:val="center"/>
          </w:tcPr>
          <w:p>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479" w:type="dxa"/>
            <w:tcBorders>
              <w:bottom w:val="single" w:color="auto" w:sz="4" w:space="0"/>
            </w:tcBorders>
            <w:vAlign w:val="center"/>
          </w:tcPr>
          <w:p>
            <w:pPr>
              <w:pStyle w:val="22"/>
              <w:spacing w:line="400" w:lineRule="exact"/>
              <w:ind w:left="560" w:hanging="560"/>
              <w:jc w:val="center"/>
              <w:rPr>
                <w:rFonts w:hAnsi="宋体" w:cs="宋体"/>
                <w:color w:val="auto"/>
                <w:highlight w:val="none"/>
              </w:rPr>
            </w:pPr>
            <w:r>
              <w:rPr>
                <w:rFonts w:hint="eastAsia" w:hAnsi="宋体" w:cs="宋体"/>
                <w:color w:val="auto"/>
                <w:highlight w:val="none"/>
              </w:rPr>
              <w:t>数量及单位</w:t>
            </w:r>
          </w:p>
        </w:tc>
        <w:tc>
          <w:tcPr>
            <w:tcW w:w="2871" w:type="dxa"/>
            <w:tcBorders>
              <w:bottom w:val="single" w:color="auto" w:sz="4" w:space="0"/>
            </w:tcBorders>
            <w:vAlign w:val="center"/>
          </w:tcPr>
          <w:p>
            <w:pPr>
              <w:pStyle w:val="22"/>
              <w:spacing w:line="400" w:lineRule="exact"/>
              <w:ind w:left="560" w:hanging="560"/>
              <w:jc w:val="center"/>
              <w:rPr>
                <w:rFonts w:hAnsi="宋体" w:cs="宋体"/>
                <w:color w:val="auto"/>
                <w:highlight w:val="none"/>
              </w:rPr>
            </w:pPr>
            <w:r>
              <w:rPr>
                <w:rFonts w:hint="eastAsia" w:hAnsi="宋体" w:cs="宋体"/>
                <w:color w:val="auto"/>
                <w:highlight w:val="none"/>
              </w:rPr>
              <w:t>报价（元）</w:t>
            </w:r>
          </w:p>
        </w:tc>
        <w:tc>
          <w:tcPr>
            <w:tcW w:w="860" w:type="dxa"/>
            <w:tcBorders>
              <w:bottom w:val="single" w:color="auto" w:sz="4" w:space="0"/>
            </w:tcBorders>
            <w:vAlign w:val="center"/>
          </w:tcPr>
          <w:p>
            <w:pPr>
              <w:pStyle w:val="22"/>
              <w:spacing w:line="400" w:lineRule="exact"/>
              <w:ind w:left="560" w:hanging="560"/>
              <w:jc w:val="center"/>
              <w:rPr>
                <w:rFonts w:hAnsi="宋体" w:cs="宋体"/>
                <w:color w:val="auto"/>
                <w:highlight w:val="none"/>
              </w:rPr>
            </w:pPr>
            <w:r>
              <w:rPr>
                <w:rFonts w:hint="eastAsia"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278" w:hRule="atLeast"/>
          <w:jc w:val="center"/>
        </w:trPr>
        <w:tc>
          <w:tcPr>
            <w:tcW w:w="44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71" w:type="dxa"/>
            <w:vAlign w:val="center"/>
          </w:tcPr>
          <w:p>
            <w:pPr>
              <w:jc w:val="center"/>
              <w:rPr>
                <w:rFonts w:ascii="宋体" w:hAnsi="宋体"/>
                <w:color w:val="auto"/>
                <w:highlight w:val="none"/>
              </w:rPr>
            </w:pPr>
            <w:r>
              <w:rPr>
                <w:rFonts w:hint="eastAsia" w:ascii="宋体" w:hAnsi="宋体" w:cs="宋体"/>
                <w:color w:val="auto"/>
                <w:szCs w:val="21"/>
                <w:highlight w:val="none"/>
                <w:lang w:bidi="ar"/>
              </w:rPr>
              <w:t>南宁市望州路军休所军休干部2024年健康疗养</w:t>
            </w:r>
          </w:p>
        </w:tc>
        <w:tc>
          <w:tcPr>
            <w:tcW w:w="1479" w:type="dxa"/>
            <w:vAlign w:val="center"/>
          </w:tcPr>
          <w:p>
            <w:pPr>
              <w:pStyle w:val="22"/>
              <w:ind w:left="560" w:hanging="560"/>
              <w:jc w:val="center"/>
              <w:rPr>
                <w:rFonts w:hAnsi="宋体" w:cs="宋体"/>
                <w:color w:val="auto"/>
                <w:highlight w:val="none"/>
              </w:rPr>
            </w:pPr>
            <w:r>
              <w:rPr>
                <w:rFonts w:hint="eastAsia" w:hAnsi="宋体" w:cs="宋体"/>
                <w:color w:val="auto"/>
                <w:highlight w:val="none"/>
              </w:rPr>
              <w:t>1项</w:t>
            </w:r>
          </w:p>
        </w:tc>
        <w:tc>
          <w:tcPr>
            <w:tcW w:w="2871" w:type="dxa"/>
            <w:vAlign w:val="center"/>
          </w:tcPr>
          <w:p>
            <w:pPr>
              <w:pStyle w:val="22"/>
              <w:ind w:left="560" w:hanging="560"/>
              <w:rPr>
                <w:rFonts w:hAnsi="宋体" w:cs="宋体"/>
                <w:color w:val="auto"/>
                <w:highlight w:val="none"/>
              </w:rPr>
            </w:pPr>
          </w:p>
        </w:tc>
        <w:tc>
          <w:tcPr>
            <w:tcW w:w="860" w:type="dxa"/>
            <w:vAlign w:val="center"/>
          </w:tcPr>
          <w:p>
            <w:pPr>
              <w:pStyle w:val="22"/>
              <w:ind w:left="536" w:hanging="536"/>
              <w:jc w:val="center"/>
              <w:rPr>
                <w:rFonts w:hAnsi="宋体" w:cs="宋体"/>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40" w:type="dxa"/>
            <w:gridSpan w:val="6"/>
          </w:tcPr>
          <w:p>
            <w:pPr>
              <w:pStyle w:val="22"/>
              <w:ind w:left="536" w:hanging="536"/>
              <w:rPr>
                <w:rFonts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r>
    </w:tbl>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pPr>
        <w:spacing w:line="400" w:lineRule="exact"/>
        <w:ind w:firstLine="411" w:firstLineChars="196"/>
        <w:rPr>
          <w:rFonts w:ascii="宋体" w:hAnsi="宋体" w:cs="宋体"/>
          <w:color w:val="auto"/>
          <w:szCs w:val="21"/>
          <w:highlight w:val="none"/>
        </w:rPr>
      </w:pPr>
      <w:r>
        <w:rPr>
          <w:rFonts w:hint="eastAsia" w:ascii="宋体" w:hAnsi="宋体" w:cs="宋体"/>
          <w:bCs/>
          <w:color w:val="auto"/>
          <w:highlight w:val="none"/>
        </w:rPr>
        <w:t>2、报价指服务费、管理费、验收费、利润、税金及其它所有成本、费用的总和</w:t>
      </w:r>
      <w:r>
        <w:rPr>
          <w:rFonts w:hint="eastAsia" w:ascii="宋体" w:hAnsi="宋体" w:cs="宋体"/>
          <w:color w:val="auto"/>
          <w:szCs w:val="21"/>
          <w:highlight w:val="none"/>
        </w:rPr>
        <w:t>。</w:t>
      </w:r>
    </w:p>
    <w:p>
      <w:pPr>
        <w:pStyle w:val="22"/>
        <w:spacing w:line="500" w:lineRule="exact"/>
        <w:ind w:firstLine="420" w:firstLineChars="200"/>
        <w:rPr>
          <w:rFonts w:hAnsi="宋体" w:cs="宋体"/>
          <w:color w:val="auto"/>
          <w:highlight w:val="none"/>
        </w:rPr>
      </w:pPr>
    </w:p>
    <w:p>
      <w:pPr>
        <w:pStyle w:val="22"/>
        <w:spacing w:line="500" w:lineRule="exact"/>
        <w:ind w:firstLine="420" w:firstLineChars="200"/>
        <w:rPr>
          <w:rFonts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pPr>
        <w:pStyle w:val="22"/>
        <w:spacing w:line="500" w:lineRule="exact"/>
        <w:ind w:firstLine="420" w:firstLineChars="200"/>
        <w:rPr>
          <w:rFonts w:hAnsi="宋体" w:cs="宋体"/>
          <w:color w:val="auto"/>
          <w:highlight w:val="none"/>
          <w:u w:val="singl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spacing w:line="500" w:lineRule="exact"/>
        <w:jc w:val="center"/>
        <w:rPr>
          <w:rFonts w:ascii="宋体" w:hAnsi="宋体" w:cs="宋体"/>
          <w:color w:val="auto"/>
          <w:highlight w:val="none"/>
        </w:rPr>
      </w:pPr>
      <w:r>
        <w:rPr>
          <w:rFonts w:ascii="宋体" w:hAnsi="宋体" w:cs="宋体"/>
          <w:color w:val="auto"/>
          <w:highlight w:val="none"/>
        </w:rPr>
        <w:br w:type="page"/>
      </w:r>
    </w:p>
    <w:p>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最后报价表</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rPr>
      </w:pPr>
      <w:r>
        <w:rPr>
          <w:rFonts w:hint="eastAsia" w:ascii="宋体" w:hAnsi="宋体" w:cs="宋体"/>
          <w:color w:val="auto"/>
          <w:szCs w:val="21"/>
          <w:highlight w:val="none"/>
        </w:rPr>
        <w:t xml:space="preserve">采购项目编号: </w:t>
      </w:r>
      <w:r>
        <w:rPr>
          <w:rFonts w:hint="eastAsia" w:ascii="宋体" w:hAnsi="宋体" w:cs="宋体"/>
          <w:color w:val="auto"/>
          <w:szCs w:val="21"/>
          <w:highlight w:val="none"/>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3671"/>
        <w:gridCol w:w="1479"/>
        <w:gridCol w:w="2871"/>
        <w:gridCol w:w="86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1579" w:hRule="atLeast"/>
          <w:jc w:val="center"/>
        </w:trPr>
        <w:tc>
          <w:tcPr>
            <w:tcW w:w="445" w:type="dxa"/>
            <w:tcBorders>
              <w:bottom w:val="single" w:color="auto" w:sz="4" w:space="0"/>
            </w:tcBorders>
            <w:vAlign w:val="center"/>
          </w:tcPr>
          <w:p>
            <w:pPr>
              <w:pStyle w:val="22"/>
              <w:spacing w:line="400" w:lineRule="exact"/>
              <w:ind w:left="480" w:hanging="480"/>
              <w:jc w:val="center"/>
              <w:rPr>
                <w:rFonts w:hAnsi="宋体" w:cs="宋体"/>
                <w:color w:val="auto"/>
                <w:spacing w:val="-20"/>
                <w:highlight w:val="none"/>
              </w:rPr>
            </w:pPr>
            <w:r>
              <w:rPr>
                <w:rFonts w:hint="eastAsia" w:hAnsi="宋体" w:cs="宋体"/>
                <w:color w:val="auto"/>
                <w:spacing w:val="-20"/>
                <w:highlight w:val="none"/>
              </w:rPr>
              <w:t>序号</w:t>
            </w:r>
          </w:p>
        </w:tc>
        <w:tc>
          <w:tcPr>
            <w:tcW w:w="3671" w:type="dxa"/>
            <w:tcBorders>
              <w:bottom w:val="single" w:color="auto" w:sz="4" w:space="0"/>
            </w:tcBorders>
            <w:vAlign w:val="center"/>
          </w:tcPr>
          <w:p>
            <w:pPr>
              <w:tabs>
                <w:tab w:val="left" w:pos="180"/>
                <w:tab w:val="left" w:pos="1620"/>
              </w:tabs>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1479" w:type="dxa"/>
            <w:tcBorders>
              <w:bottom w:val="single" w:color="auto" w:sz="4" w:space="0"/>
            </w:tcBorders>
            <w:vAlign w:val="center"/>
          </w:tcPr>
          <w:p>
            <w:pPr>
              <w:pStyle w:val="22"/>
              <w:spacing w:line="400" w:lineRule="exact"/>
              <w:ind w:left="560" w:hanging="560"/>
              <w:jc w:val="center"/>
              <w:rPr>
                <w:rFonts w:hAnsi="宋体" w:cs="宋体"/>
                <w:color w:val="auto"/>
                <w:highlight w:val="none"/>
              </w:rPr>
            </w:pPr>
            <w:r>
              <w:rPr>
                <w:rFonts w:hint="eastAsia" w:hAnsi="宋体" w:cs="宋体"/>
                <w:color w:val="auto"/>
                <w:highlight w:val="none"/>
              </w:rPr>
              <w:t>数量及单位</w:t>
            </w:r>
          </w:p>
        </w:tc>
        <w:tc>
          <w:tcPr>
            <w:tcW w:w="2871" w:type="dxa"/>
            <w:tcBorders>
              <w:bottom w:val="single" w:color="auto" w:sz="4" w:space="0"/>
            </w:tcBorders>
            <w:vAlign w:val="center"/>
          </w:tcPr>
          <w:p>
            <w:pPr>
              <w:pStyle w:val="22"/>
              <w:spacing w:line="400" w:lineRule="exact"/>
              <w:ind w:left="560" w:hanging="560"/>
              <w:jc w:val="center"/>
              <w:rPr>
                <w:rFonts w:hAnsi="宋体" w:cs="宋体"/>
                <w:color w:val="auto"/>
                <w:highlight w:val="none"/>
              </w:rPr>
            </w:pPr>
            <w:r>
              <w:rPr>
                <w:rFonts w:hint="eastAsia" w:hAnsi="宋体" w:cs="宋体"/>
                <w:color w:val="auto"/>
                <w:highlight w:val="none"/>
              </w:rPr>
              <w:t>报价（元）</w:t>
            </w:r>
          </w:p>
        </w:tc>
        <w:tc>
          <w:tcPr>
            <w:tcW w:w="860" w:type="dxa"/>
            <w:tcBorders>
              <w:bottom w:val="single" w:color="auto" w:sz="4" w:space="0"/>
            </w:tcBorders>
            <w:vAlign w:val="center"/>
          </w:tcPr>
          <w:p>
            <w:pPr>
              <w:pStyle w:val="22"/>
              <w:spacing w:line="400" w:lineRule="exact"/>
              <w:ind w:left="560" w:hanging="560"/>
              <w:jc w:val="center"/>
              <w:rPr>
                <w:rFonts w:hAnsi="宋体" w:cs="宋体"/>
                <w:color w:val="auto"/>
                <w:highlight w:val="none"/>
              </w:rPr>
            </w:pPr>
            <w:r>
              <w:rPr>
                <w:rFonts w:hint="eastAsia"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2278" w:hRule="atLeast"/>
          <w:jc w:val="center"/>
        </w:trPr>
        <w:tc>
          <w:tcPr>
            <w:tcW w:w="44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671" w:type="dxa"/>
            <w:vAlign w:val="center"/>
          </w:tcPr>
          <w:p>
            <w:pPr>
              <w:jc w:val="center"/>
              <w:rPr>
                <w:rFonts w:ascii="宋体" w:hAnsi="宋体"/>
                <w:color w:val="auto"/>
                <w:highlight w:val="none"/>
              </w:rPr>
            </w:pPr>
            <w:r>
              <w:rPr>
                <w:rFonts w:hint="eastAsia" w:ascii="宋体" w:hAnsi="宋体"/>
                <w:color w:val="auto"/>
                <w:highlight w:val="none"/>
              </w:rPr>
              <w:t>南宁市望州路军休所军休干部2024年健康疗养</w:t>
            </w:r>
          </w:p>
        </w:tc>
        <w:tc>
          <w:tcPr>
            <w:tcW w:w="1479" w:type="dxa"/>
            <w:vAlign w:val="center"/>
          </w:tcPr>
          <w:p>
            <w:pPr>
              <w:pStyle w:val="22"/>
              <w:ind w:left="560" w:hanging="560"/>
              <w:jc w:val="center"/>
              <w:rPr>
                <w:rFonts w:hAnsi="宋体" w:cs="宋体"/>
                <w:color w:val="auto"/>
                <w:highlight w:val="none"/>
              </w:rPr>
            </w:pPr>
            <w:r>
              <w:rPr>
                <w:rFonts w:hint="eastAsia" w:hAnsi="宋体" w:cs="宋体"/>
                <w:color w:val="auto"/>
                <w:highlight w:val="none"/>
              </w:rPr>
              <w:t>1项</w:t>
            </w:r>
          </w:p>
        </w:tc>
        <w:tc>
          <w:tcPr>
            <w:tcW w:w="2871" w:type="dxa"/>
            <w:vAlign w:val="center"/>
          </w:tcPr>
          <w:p>
            <w:pPr>
              <w:pStyle w:val="22"/>
              <w:ind w:left="560" w:hanging="560"/>
              <w:rPr>
                <w:rFonts w:hAnsi="宋体" w:cs="宋体"/>
                <w:color w:val="auto"/>
                <w:highlight w:val="none"/>
              </w:rPr>
            </w:pPr>
          </w:p>
        </w:tc>
        <w:tc>
          <w:tcPr>
            <w:tcW w:w="860" w:type="dxa"/>
            <w:vAlign w:val="center"/>
          </w:tcPr>
          <w:p>
            <w:pPr>
              <w:pStyle w:val="22"/>
              <w:ind w:left="536" w:hanging="536"/>
              <w:jc w:val="center"/>
              <w:rPr>
                <w:rFonts w:hAnsi="宋体" w:cs="宋体"/>
                <w:color w:val="auto"/>
                <w:spacing w:val="-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340" w:type="dxa"/>
            <w:gridSpan w:val="6"/>
          </w:tcPr>
          <w:p>
            <w:pPr>
              <w:pStyle w:val="22"/>
              <w:ind w:left="536" w:hanging="536"/>
              <w:rPr>
                <w:rFonts w:hAnsi="宋体" w:cs="宋体"/>
                <w:color w:val="auto"/>
                <w:spacing w:val="-6"/>
                <w:highlight w:val="none"/>
              </w:rPr>
            </w:pPr>
            <w:r>
              <w:rPr>
                <w:rFonts w:hint="eastAsia" w:hAnsi="宋体" w:cs="宋体"/>
                <w:color w:val="auto"/>
                <w:spacing w:val="-6"/>
                <w:highlight w:val="none"/>
              </w:rPr>
              <w:t>总报价（人民币大写）：</w:t>
            </w:r>
            <w:r>
              <w:rPr>
                <w:rFonts w:hint="eastAsia" w:hAnsi="宋体" w:cs="宋体"/>
                <w:color w:val="auto"/>
                <w:spacing w:val="-6"/>
                <w:highlight w:val="none"/>
                <w:u w:val="single"/>
              </w:rPr>
              <w:t xml:space="preserve">                                       </w:t>
            </w:r>
            <w:r>
              <w:rPr>
                <w:rFonts w:hint="eastAsia" w:hAnsi="宋体" w:cs="宋体"/>
                <w:color w:val="auto"/>
                <w:spacing w:val="-6"/>
                <w:highlight w:val="none"/>
              </w:rPr>
              <w:t>（￥</w:t>
            </w:r>
            <w:r>
              <w:rPr>
                <w:rFonts w:hint="eastAsia" w:hAnsi="宋体" w:cs="宋体"/>
                <w:color w:val="auto"/>
                <w:spacing w:val="-6"/>
                <w:highlight w:val="none"/>
                <w:u w:val="single"/>
              </w:rPr>
              <w:t xml:space="preserve">                </w:t>
            </w:r>
            <w:r>
              <w:rPr>
                <w:rFonts w:hint="eastAsia" w:hAnsi="宋体" w:cs="宋体"/>
                <w:color w:val="auto"/>
                <w:spacing w:val="-6"/>
                <w:highlight w:val="none"/>
              </w:rPr>
              <w:t>元）</w:t>
            </w:r>
          </w:p>
        </w:tc>
      </w:tr>
    </w:tbl>
    <w:p>
      <w:pPr>
        <w:spacing w:line="400" w:lineRule="exact"/>
        <w:rPr>
          <w:rFonts w:ascii="宋体" w:hAnsi="宋体" w:cs="宋体"/>
          <w:color w:val="auto"/>
          <w:szCs w:val="21"/>
          <w:highlight w:val="none"/>
        </w:rPr>
      </w:pPr>
    </w:p>
    <w:p>
      <w:pPr>
        <w:spacing w:line="400" w:lineRule="exact"/>
        <w:rPr>
          <w:rFonts w:ascii="宋体" w:hAnsi="宋体" w:cs="宋体"/>
          <w:color w:val="auto"/>
          <w:szCs w:val="21"/>
          <w:highlight w:val="none"/>
        </w:rPr>
      </w:pPr>
      <w:r>
        <w:rPr>
          <w:rFonts w:hint="eastAsia" w:ascii="宋体" w:hAnsi="宋体" w:cs="宋体"/>
          <w:color w:val="auto"/>
          <w:szCs w:val="21"/>
          <w:highlight w:val="none"/>
        </w:rPr>
        <w:t>注：1、所有价格均用人民币表示，单位为元，保留两位小数。</w:t>
      </w:r>
    </w:p>
    <w:p>
      <w:pPr>
        <w:spacing w:line="400" w:lineRule="exact"/>
        <w:ind w:firstLine="411" w:firstLineChars="196"/>
        <w:rPr>
          <w:rFonts w:ascii="宋体" w:hAnsi="宋体" w:cs="宋体"/>
          <w:color w:val="auto"/>
          <w:szCs w:val="21"/>
          <w:highlight w:val="none"/>
        </w:rPr>
      </w:pPr>
      <w:r>
        <w:rPr>
          <w:rFonts w:hint="eastAsia" w:ascii="宋体" w:hAnsi="宋体" w:cs="宋体"/>
          <w:bCs/>
          <w:color w:val="auto"/>
          <w:highlight w:val="none"/>
        </w:rPr>
        <w:t>2、报价指服务费、管理费、验收费、利润、税金及其它所有成本、费用的总和</w:t>
      </w:r>
      <w:r>
        <w:rPr>
          <w:rFonts w:hint="eastAsia" w:ascii="宋体" w:hAnsi="宋体" w:cs="宋体"/>
          <w:color w:val="auto"/>
          <w:szCs w:val="21"/>
          <w:highlight w:val="none"/>
        </w:rPr>
        <w:t>。</w:t>
      </w:r>
    </w:p>
    <w:p>
      <w:pPr>
        <w:spacing w:line="40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highlight w:val="none"/>
        </w:rPr>
        <w:t>供应商须提前做好最后报价的相关准备，于磋商后在规定的时间内递交附件（最后报价表）。</w:t>
      </w:r>
    </w:p>
    <w:p>
      <w:pPr>
        <w:pStyle w:val="22"/>
        <w:spacing w:line="500" w:lineRule="exact"/>
        <w:ind w:firstLine="420" w:firstLineChars="200"/>
        <w:rPr>
          <w:rFonts w:hAnsi="宋体" w:cs="宋体"/>
          <w:color w:val="auto"/>
          <w:highlight w:val="none"/>
        </w:rPr>
      </w:pPr>
    </w:p>
    <w:p>
      <w:pPr>
        <w:pStyle w:val="22"/>
        <w:spacing w:line="500" w:lineRule="exact"/>
        <w:ind w:firstLine="420" w:firstLineChars="200"/>
        <w:rPr>
          <w:rFonts w:hAnsi="宋体" w:cs="宋体"/>
          <w:color w:val="auto"/>
          <w:highlight w:val="none"/>
          <w:u w:val="single"/>
        </w:rPr>
      </w:pPr>
      <w:r>
        <w:rPr>
          <w:rFonts w:hint="eastAsia" w:hAnsi="宋体" w:cs="宋体"/>
          <w:color w:val="auto"/>
          <w:highlight w:val="none"/>
        </w:rPr>
        <w:t>法定代表人或委托代理人（签字）:</w:t>
      </w:r>
      <w:r>
        <w:rPr>
          <w:rFonts w:hint="eastAsia" w:hAnsi="宋体" w:cs="宋体"/>
          <w:color w:val="auto"/>
          <w:highlight w:val="none"/>
          <w:u w:val="single"/>
        </w:rPr>
        <w:t xml:space="preserve">              </w:t>
      </w:r>
    </w:p>
    <w:p>
      <w:pPr>
        <w:pStyle w:val="22"/>
        <w:spacing w:line="500" w:lineRule="exact"/>
        <w:ind w:firstLine="420" w:firstLineChars="200"/>
        <w:rPr>
          <w:rFonts w:hAnsi="宋体" w:cs="宋体"/>
          <w:color w:val="auto"/>
          <w:highlight w:val="none"/>
          <w:u w:val="single"/>
        </w:rPr>
      </w:pPr>
      <w:r>
        <w:rPr>
          <w:rFonts w:hint="eastAsia" w:hAnsi="宋体" w:cs="宋体"/>
          <w:color w:val="auto"/>
          <w:highlight w:val="none"/>
        </w:rPr>
        <w:t>磋商供应商名称（盖章或签字）：</w:t>
      </w:r>
      <w:r>
        <w:rPr>
          <w:rFonts w:hint="eastAsia" w:hAnsi="宋体" w:cs="宋体"/>
          <w:color w:val="auto"/>
          <w:highlight w:val="none"/>
          <w:u w:val="single"/>
        </w:rPr>
        <w:t xml:space="preserve">                             </w:t>
      </w:r>
    </w:p>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报价时间：</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pPr>
        <w:adjustRightInd w:val="0"/>
        <w:snapToGrid w:val="0"/>
        <w:spacing w:line="500" w:lineRule="exact"/>
        <w:ind w:left="-88" w:leftChars="-42"/>
        <w:rPr>
          <w:rFonts w:ascii="宋体" w:hAnsi="宋体" w:cs="宋体"/>
          <w:color w:val="auto"/>
          <w:szCs w:val="21"/>
          <w:highlight w:val="none"/>
        </w:rPr>
      </w:pPr>
      <w:r>
        <w:rPr>
          <w:rFonts w:hint="eastAsia" w:ascii="宋体" w:hAnsi="宋体" w:cs="宋体"/>
          <w:color w:val="auto"/>
          <w:highlight w:val="none"/>
        </w:rPr>
        <w:br w:type="page"/>
      </w:r>
      <w:r>
        <w:rPr>
          <w:rFonts w:hint="eastAsia" w:ascii="宋体" w:hAnsi="宋体" w:cs="宋体"/>
          <w:b/>
          <w:color w:val="auto"/>
          <w:szCs w:val="21"/>
          <w:highlight w:val="none"/>
        </w:rPr>
        <w:t>附件二</w:t>
      </w:r>
    </w:p>
    <w:p>
      <w:pPr>
        <w:spacing w:line="52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磋  商  书</w:t>
      </w:r>
    </w:p>
    <w:p>
      <w:pPr>
        <w:spacing w:line="520" w:lineRule="exact"/>
        <w:jc w:val="center"/>
        <w:rPr>
          <w:rFonts w:ascii="宋体" w:hAnsi="宋体" w:cs="宋体"/>
          <w:b/>
          <w:color w:val="auto"/>
          <w:szCs w:val="21"/>
          <w:highlight w:val="none"/>
        </w:rPr>
      </w:pPr>
    </w:p>
    <w:p>
      <w:pPr>
        <w:pStyle w:val="22"/>
        <w:spacing w:line="520" w:lineRule="exact"/>
        <w:rPr>
          <w:rFonts w:hAnsi="宋体" w:cs="宋体"/>
          <w:color w:val="auto"/>
          <w:highlight w:val="none"/>
        </w:rPr>
      </w:pPr>
      <w:r>
        <w:rPr>
          <w:rFonts w:hint="eastAsia" w:hAnsi="宋体" w:cs="宋体"/>
          <w:color w:val="auto"/>
          <w:highlight w:val="none"/>
          <w:u w:val="single"/>
        </w:rPr>
        <w:t>广西国建项目管理有限公司</w:t>
      </w:r>
      <w:r>
        <w:rPr>
          <w:rFonts w:hint="eastAsia" w:hAnsi="宋体" w:cs="宋体"/>
          <w:color w:val="auto"/>
          <w:highlight w:val="none"/>
        </w:rPr>
        <w:t>：</w:t>
      </w:r>
    </w:p>
    <w:p>
      <w:pPr>
        <w:pStyle w:val="22"/>
        <w:spacing w:line="520" w:lineRule="exact"/>
        <w:ind w:firstLine="480"/>
        <w:rPr>
          <w:rFonts w:hAnsi="宋体" w:cs="宋体"/>
          <w:color w:val="auto"/>
          <w:highlight w:val="none"/>
        </w:rPr>
      </w:pPr>
      <w:r>
        <w:rPr>
          <w:rFonts w:hint="eastAsia" w:hAnsi="宋体" w:cs="宋体"/>
          <w:color w:val="auto"/>
          <w:highlight w:val="none"/>
        </w:rPr>
        <w:t>依据贵方</w:t>
      </w:r>
      <w:r>
        <w:rPr>
          <w:rFonts w:hint="eastAsia" w:hAnsi="宋体" w:cs="宋体"/>
          <w:color w:val="auto"/>
          <w:highlight w:val="none"/>
          <w:u w:val="single"/>
        </w:rPr>
        <w:t>（采购项目名称/采购项目编号）</w:t>
      </w:r>
      <w:r>
        <w:rPr>
          <w:rFonts w:hint="eastAsia" w:hAnsi="宋体" w:cs="宋体"/>
          <w:color w:val="auto"/>
          <w:highlight w:val="none"/>
        </w:rPr>
        <w:t>项目采购的磋商邀请，我方</w:t>
      </w:r>
      <w:r>
        <w:rPr>
          <w:rFonts w:hint="eastAsia" w:hAnsi="宋体" w:cs="宋体"/>
          <w:color w:val="auto"/>
          <w:highlight w:val="none"/>
          <w:u w:val="single"/>
        </w:rPr>
        <w:t>（姓名和职务）</w:t>
      </w:r>
      <w:r>
        <w:rPr>
          <w:rFonts w:hint="eastAsia" w:hAnsi="宋体" w:cs="宋体"/>
          <w:color w:val="auto"/>
          <w:highlight w:val="none"/>
        </w:rPr>
        <w:t>经正式授权并代表本单位</w:t>
      </w:r>
      <w:r>
        <w:rPr>
          <w:rFonts w:hint="eastAsia" w:hAnsi="宋体" w:cs="宋体"/>
          <w:color w:val="auto"/>
          <w:highlight w:val="none"/>
          <w:u w:val="single"/>
        </w:rPr>
        <w:t>（磋商供应商名称、地址）</w:t>
      </w:r>
      <w:r>
        <w:rPr>
          <w:rFonts w:hint="eastAsia" w:hAnsi="宋体" w:cs="宋体"/>
          <w:color w:val="auto"/>
          <w:highlight w:val="none"/>
        </w:rPr>
        <w:t>提交下述竞争性磋商响应文件</w:t>
      </w:r>
      <w:r>
        <w:rPr>
          <w:rFonts w:hint="eastAsia" w:hAnsi="宋体" w:cs="宋体"/>
          <w:b/>
          <w:color w:val="auto"/>
          <w:highlight w:val="none"/>
        </w:rPr>
        <w:t>（价格文件、商务技术文件），其中</w:t>
      </w:r>
      <w:r>
        <w:rPr>
          <w:rFonts w:hint="eastAsia" w:hAnsi="宋体" w:cs="宋体"/>
          <w:color w:val="auto"/>
          <w:highlight w:val="none"/>
        </w:rPr>
        <w:t>正本</w:t>
      </w:r>
      <w:r>
        <w:rPr>
          <w:rFonts w:hint="eastAsia" w:hAnsi="宋体" w:cs="宋体"/>
          <w:color w:val="auto"/>
          <w:highlight w:val="none"/>
          <w:u w:val="single"/>
        </w:rPr>
        <w:t>一</w:t>
      </w:r>
      <w:r>
        <w:rPr>
          <w:rFonts w:hint="eastAsia" w:hAnsi="宋体" w:cs="宋体"/>
          <w:color w:val="auto"/>
          <w:highlight w:val="none"/>
        </w:rPr>
        <w:t>份、副本</w:t>
      </w:r>
      <w:r>
        <w:rPr>
          <w:rFonts w:hint="eastAsia" w:hAnsi="宋体" w:cs="宋体"/>
          <w:color w:val="auto"/>
          <w:highlight w:val="none"/>
          <w:u w:val="single"/>
        </w:rPr>
        <w:t>四</w:t>
      </w:r>
      <w:r>
        <w:rPr>
          <w:rFonts w:hint="eastAsia" w:hAnsi="宋体" w:cs="宋体"/>
          <w:color w:val="auto"/>
          <w:highlight w:val="none"/>
        </w:rPr>
        <w:t>份。供应商在递交响应文件时，同时递交响应文件电子版（将响应文件电子版U盘与纸质版响应文件一并装入响应文件袋中。）</w:t>
      </w:r>
    </w:p>
    <w:p>
      <w:pPr>
        <w:pStyle w:val="22"/>
        <w:spacing w:line="520" w:lineRule="exact"/>
        <w:ind w:firstLine="480"/>
        <w:rPr>
          <w:rFonts w:hAnsi="宋体" w:cs="宋体"/>
          <w:color w:val="auto"/>
          <w:highlight w:val="none"/>
        </w:rPr>
      </w:pPr>
      <w:r>
        <w:rPr>
          <w:rFonts w:hint="eastAsia" w:hAnsi="宋体" w:cs="宋体"/>
          <w:color w:val="auto"/>
          <w:highlight w:val="none"/>
        </w:rPr>
        <w:t>1. 报价表；</w:t>
      </w:r>
    </w:p>
    <w:p>
      <w:pPr>
        <w:pStyle w:val="22"/>
        <w:spacing w:line="520" w:lineRule="exact"/>
        <w:ind w:firstLine="480"/>
        <w:rPr>
          <w:rFonts w:hAnsi="宋体" w:cs="宋体"/>
          <w:color w:val="auto"/>
          <w:highlight w:val="none"/>
        </w:rPr>
      </w:pPr>
      <w:r>
        <w:rPr>
          <w:rFonts w:hint="eastAsia" w:hAnsi="宋体" w:cs="宋体"/>
          <w:color w:val="auto"/>
          <w:highlight w:val="none"/>
        </w:rPr>
        <w:t>2. 商务、技术响应、偏离情况说明表；</w:t>
      </w:r>
    </w:p>
    <w:p>
      <w:pPr>
        <w:pStyle w:val="22"/>
        <w:spacing w:line="520" w:lineRule="exact"/>
        <w:ind w:firstLine="480"/>
        <w:rPr>
          <w:rFonts w:hAnsi="宋体" w:cs="宋体"/>
          <w:color w:val="auto"/>
          <w:highlight w:val="none"/>
        </w:rPr>
      </w:pPr>
      <w:r>
        <w:rPr>
          <w:rFonts w:hint="eastAsia" w:hAnsi="宋体" w:cs="宋体"/>
          <w:color w:val="auto"/>
          <w:highlight w:val="none"/>
        </w:rPr>
        <w:t>3. 资格证明文件；</w:t>
      </w:r>
    </w:p>
    <w:p>
      <w:pPr>
        <w:pStyle w:val="22"/>
        <w:spacing w:line="520" w:lineRule="exact"/>
        <w:ind w:firstLine="480"/>
        <w:rPr>
          <w:rFonts w:hAnsi="宋体" w:cs="宋体"/>
          <w:color w:val="auto"/>
          <w:highlight w:val="none"/>
        </w:rPr>
      </w:pPr>
      <w:r>
        <w:rPr>
          <w:rFonts w:hint="eastAsia" w:hAnsi="宋体" w:cs="宋体"/>
          <w:color w:val="auto"/>
          <w:highlight w:val="none"/>
        </w:rPr>
        <w:t>4. 按竞争性磋商文件磋商供应商须知和采购需求提供的有关文件；</w:t>
      </w:r>
    </w:p>
    <w:p>
      <w:pPr>
        <w:pStyle w:val="22"/>
        <w:spacing w:line="520" w:lineRule="exact"/>
        <w:ind w:firstLine="480"/>
        <w:rPr>
          <w:rFonts w:hAnsi="宋体" w:cs="宋体"/>
          <w:color w:val="auto"/>
          <w:highlight w:val="none"/>
        </w:rPr>
      </w:pPr>
      <w:r>
        <w:rPr>
          <w:rFonts w:hint="eastAsia" w:hAnsi="宋体" w:cs="宋体"/>
          <w:color w:val="auto"/>
          <w:highlight w:val="none"/>
        </w:rPr>
        <w:t>在此，授权代表宣布同意如下：</w:t>
      </w:r>
    </w:p>
    <w:p>
      <w:pPr>
        <w:pStyle w:val="22"/>
        <w:spacing w:line="520" w:lineRule="exact"/>
        <w:ind w:firstLine="480"/>
        <w:rPr>
          <w:rFonts w:hAnsi="宋体" w:cs="宋体"/>
          <w:color w:val="auto"/>
          <w:highlight w:val="none"/>
        </w:rPr>
      </w:pPr>
      <w:r>
        <w:rPr>
          <w:rFonts w:hint="eastAsia" w:hAnsi="宋体" w:cs="宋体"/>
          <w:color w:val="auto"/>
          <w:highlight w:val="none"/>
        </w:rPr>
        <w:t>1. 将按竞争性磋商文件的约定履行合同责任和义务；</w:t>
      </w:r>
    </w:p>
    <w:p>
      <w:pPr>
        <w:pStyle w:val="22"/>
        <w:spacing w:line="520" w:lineRule="exact"/>
        <w:ind w:firstLine="480"/>
        <w:rPr>
          <w:rFonts w:hAnsi="宋体" w:cs="宋体"/>
          <w:color w:val="auto"/>
          <w:highlight w:val="none"/>
        </w:rPr>
      </w:pPr>
      <w:r>
        <w:rPr>
          <w:rFonts w:hint="eastAsia" w:hAnsi="宋体" w:cs="宋体"/>
          <w:color w:val="auto"/>
          <w:highlight w:val="none"/>
        </w:rPr>
        <w:t>2. 已详细审查全部竞争性磋商文件，包括</w:t>
      </w:r>
      <w:r>
        <w:rPr>
          <w:rFonts w:hint="eastAsia" w:hAnsi="宋体" w:cs="宋体"/>
          <w:color w:val="auto"/>
          <w:highlight w:val="none"/>
          <w:u w:val="single"/>
        </w:rPr>
        <w:t>（补遗文件）（如果有的话）</w:t>
      </w:r>
      <w:r>
        <w:rPr>
          <w:rFonts w:hint="eastAsia" w:hAnsi="宋体" w:cs="宋体"/>
          <w:color w:val="auto"/>
          <w:highlight w:val="none"/>
        </w:rPr>
        <w:t>；</w:t>
      </w:r>
    </w:p>
    <w:p>
      <w:pPr>
        <w:pStyle w:val="22"/>
        <w:spacing w:line="520" w:lineRule="exact"/>
        <w:ind w:firstLine="480"/>
        <w:rPr>
          <w:rFonts w:hAnsi="宋体" w:cs="宋体"/>
          <w:color w:val="auto"/>
          <w:highlight w:val="none"/>
        </w:rPr>
      </w:pPr>
      <w:r>
        <w:rPr>
          <w:rFonts w:hint="eastAsia" w:hAnsi="宋体" w:cs="宋体"/>
          <w:color w:val="auto"/>
          <w:highlight w:val="none"/>
        </w:rPr>
        <w:t>3. 同意提供按照贵方可能要求的与其磋商有关的一切数据或资料；</w:t>
      </w:r>
    </w:p>
    <w:p>
      <w:pPr>
        <w:pStyle w:val="22"/>
        <w:spacing w:line="520" w:lineRule="exact"/>
        <w:ind w:firstLine="480"/>
        <w:rPr>
          <w:rFonts w:hAnsi="宋体" w:cs="宋体"/>
          <w:color w:val="auto"/>
          <w:highlight w:val="none"/>
          <w:u w:val="single"/>
        </w:rPr>
      </w:pPr>
      <w:r>
        <w:rPr>
          <w:rFonts w:hint="eastAsia" w:hAnsi="宋体" w:cs="宋体"/>
          <w:color w:val="auto"/>
          <w:highlight w:val="none"/>
        </w:rPr>
        <w:t>4. 与本磋商有关的一切正式往来信函请寄：</w:t>
      </w:r>
      <w:r>
        <w:rPr>
          <w:rFonts w:hint="eastAsia" w:hAnsi="宋体" w:cs="宋体"/>
          <w:color w:val="auto"/>
          <w:highlight w:val="none"/>
          <w:u w:val="single"/>
        </w:rPr>
        <w:t xml:space="preserve">                                    </w:t>
      </w:r>
    </w:p>
    <w:p>
      <w:pPr>
        <w:pStyle w:val="22"/>
        <w:spacing w:line="520" w:lineRule="exact"/>
        <w:ind w:firstLine="84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r>
        <w:rPr>
          <w:rFonts w:hint="eastAsia" w:hAnsi="宋体" w:cs="宋体"/>
          <w:color w:val="auto"/>
          <w:highlight w:val="none"/>
        </w:rPr>
        <w:t xml:space="preserve">  账号/行号：</w:t>
      </w:r>
      <w:r>
        <w:rPr>
          <w:rFonts w:hint="eastAsia" w:hAnsi="宋体" w:cs="宋体"/>
          <w:color w:val="auto"/>
          <w:highlight w:val="none"/>
          <w:u w:val="single"/>
        </w:rPr>
        <w:t xml:space="preserve">                       </w:t>
      </w:r>
    </w:p>
    <w:p>
      <w:pPr>
        <w:pStyle w:val="22"/>
        <w:spacing w:line="520" w:lineRule="exact"/>
        <w:ind w:firstLine="840"/>
        <w:rPr>
          <w:rFonts w:hAnsi="宋体" w:cs="宋体"/>
          <w:color w:val="auto"/>
          <w:highlight w:val="none"/>
        </w:rPr>
      </w:pPr>
      <w:r>
        <w:rPr>
          <w:rFonts w:hint="eastAsia" w:hAnsi="宋体" w:cs="宋体"/>
          <w:color w:val="auto"/>
          <w:highlight w:val="none"/>
        </w:rPr>
        <w:t>电话/传真：</w:t>
      </w:r>
      <w:r>
        <w:rPr>
          <w:rFonts w:hint="eastAsia" w:hAnsi="宋体" w:cs="宋体"/>
          <w:color w:val="auto"/>
          <w:highlight w:val="none"/>
          <w:u w:val="single"/>
        </w:rPr>
        <w:t xml:space="preserve">                        </w:t>
      </w:r>
      <w:r>
        <w:rPr>
          <w:rFonts w:hint="eastAsia" w:hAnsi="宋体" w:cs="宋体"/>
          <w:color w:val="auto"/>
          <w:highlight w:val="none"/>
        </w:rPr>
        <w:t xml:space="preserve"> 电子函件：</w:t>
      </w:r>
      <w:r>
        <w:rPr>
          <w:rFonts w:hint="eastAsia" w:hAnsi="宋体" w:cs="宋体"/>
          <w:color w:val="auto"/>
          <w:highlight w:val="none"/>
          <w:u w:val="single"/>
        </w:rPr>
        <w:t xml:space="preserve">                         </w:t>
      </w:r>
    </w:p>
    <w:p>
      <w:pPr>
        <w:pStyle w:val="22"/>
        <w:spacing w:line="520" w:lineRule="exact"/>
        <w:ind w:firstLine="840"/>
        <w:rPr>
          <w:rFonts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22"/>
        <w:spacing w:line="520" w:lineRule="exact"/>
        <w:ind w:firstLine="840"/>
        <w:rPr>
          <w:rFonts w:hAnsi="宋体" w:cs="宋体"/>
          <w:color w:val="auto"/>
          <w:highlight w:val="none"/>
          <w:u w:val="single"/>
        </w:rPr>
      </w:pPr>
      <w:r>
        <w:rPr>
          <w:rFonts w:hint="eastAsia" w:hAnsi="宋体" w:cs="宋体"/>
          <w:color w:val="auto"/>
          <w:highlight w:val="none"/>
        </w:rPr>
        <w:t>法定代表人或委托代理人（被授权人）签字：</w:t>
      </w:r>
      <w:r>
        <w:rPr>
          <w:rFonts w:hint="eastAsia" w:hAnsi="宋体" w:cs="宋体"/>
          <w:color w:val="auto"/>
          <w:highlight w:val="none"/>
          <w:u w:val="single"/>
        </w:rPr>
        <w:t xml:space="preserve">                       </w:t>
      </w:r>
    </w:p>
    <w:p>
      <w:pPr>
        <w:pStyle w:val="22"/>
        <w:spacing w:line="520" w:lineRule="exact"/>
        <w:ind w:firstLine="840"/>
        <w:rPr>
          <w:rFonts w:hAnsi="宋体" w:cs="宋体"/>
          <w:color w:val="auto"/>
          <w:highlight w:val="none"/>
        </w:rPr>
      </w:pPr>
      <w:r>
        <w:rPr>
          <w:rFonts w:hint="eastAsia" w:hAnsi="宋体" w:cs="宋体"/>
          <w:color w:val="auto"/>
          <w:highlight w:val="none"/>
        </w:rPr>
        <w:t>磋商供应商名称（盖章）：</w:t>
      </w:r>
      <w:r>
        <w:rPr>
          <w:rFonts w:hint="eastAsia" w:hAnsi="宋体" w:cs="宋体"/>
          <w:color w:val="auto"/>
          <w:highlight w:val="none"/>
          <w:u w:val="single"/>
        </w:rPr>
        <w:t xml:space="preserve">                                                </w:t>
      </w:r>
    </w:p>
    <w:p>
      <w:pPr>
        <w:pStyle w:val="22"/>
        <w:spacing w:line="520" w:lineRule="exact"/>
        <w:ind w:firstLine="840"/>
        <w:rPr>
          <w:rFonts w:hAnsi="宋体" w:cs="宋体"/>
          <w:color w:val="auto"/>
          <w:highlight w:val="none"/>
        </w:rPr>
      </w:pPr>
      <w:r>
        <w:rPr>
          <w:rFonts w:hint="eastAsia" w:hAnsi="宋体" w:cs="宋体"/>
          <w:color w:val="auto"/>
          <w:highlight w:val="none"/>
        </w:rPr>
        <w:t xml:space="preserve">                     </w:t>
      </w:r>
    </w:p>
    <w:p>
      <w:pPr>
        <w:adjustRightInd w:val="0"/>
        <w:snapToGrid w:val="0"/>
        <w:spacing w:line="300" w:lineRule="auto"/>
        <w:ind w:left="-88" w:leftChars="-42"/>
        <w:rPr>
          <w:rFonts w:ascii="宋体" w:hAnsi="宋体" w:cs="宋体"/>
          <w:color w:val="auto"/>
          <w:szCs w:val="21"/>
          <w:highlight w:val="none"/>
        </w:rPr>
      </w:pPr>
    </w:p>
    <w:p>
      <w:pPr>
        <w:adjustRightInd w:val="0"/>
        <w:snapToGrid w:val="0"/>
        <w:spacing w:line="300" w:lineRule="auto"/>
        <w:ind w:left="-88" w:leftChars="-42"/>
        <w:rPr>
          <w:rFonts w:ascii="宋体" w:hAnsi="宋体" w:cs="宋体"/>
          <w:color w:val="auto"/>
          <w:szCs w:val="21"/>
          <w:highlight w:val="none"/>
        </w:rPr>
      </w:pPr>
    </w:p>
    <w:p>
      <w:pPr>
        <w:adjustRightInd w:val="0"/>
        <w:snapToGrid w:val="0"/>
        <w:spacing w:line="300" w:lineRule="auto"/>
        <w:ind w:left="-88" w:leftChars="-42"/>
        <w:rPr>
          <w:rFonts w:ascii="宋体" w:hAnsi="宋体" w:cs="宋体"/>
          <w:color w:val="auto"/>
          <w:szCs w:val="21"/>
          <w:highlight w:val="none"/>
        </w:rPr>
      </w:pPr>
    </w:p>
    <w:p>
      <w:pPr>
        <w:adjustRightInd w:val="0"/>
        <w:snapToGrid w:val="0"/>
        <w:spacing w:line="300" w:lineRule="auto"/>
        <w:ind w:left="-88" w:leftChars="-42"/>
        <w:rPr>
          <w:rFonts w:ascii="宋体" w:hAnsi="宋体" w:cs="宋体"/>
          <w:color w:val="auto"/>
          <w:szCs w:val="21"/>
          <w:highlight w:val="none"/>
        </w:rPr>
      </w:pPr>
    </w:p>
    <w:p>
      <w:pPr>
        <w:spacing w:line="520" w:lineRule="exact"/>
        <w:jc w:val="center"/>
        <w:rPr>
          <w:rFonts w:ascii="宋体" w:hAnsi="宋体" w:cs="宋体"/>
          <w:b/>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b/>
          <w:color w:val="auto"/>
          <w:sz w:val="32"/>
          <w:szCs w:val="32"/>
          <w:highlight w:val="none"/>
        </w:rPr>
        <w:t>磋商声明书</w:t>
      </w:r>
    </w:p>
    <w:p>
      <w:pPr>
        <w:spacing w:line="320" w:lineRule="exact"/>
        <w:jc w:val="center"/>
        <w:rPr>
          <w:rFonts w:ascii="宋体" w:hAnsi="宋体" w:cs="宋体"/>
          <w:color w:val="auto"/>
          <w:sz w:val="24"/>
          <w:szCs w:val="20"/>
          <w:highlight w:val="none"/>
        </w:rPr>
      </w:pPr>
    </w:p>
    <w:p>
      <w:pPr>
        <w:snapToGrid w:val="0"/>
        <w:spacing w:before="156" w:beforeLines="50" w:after="50" w:line="38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pPr>
        <w:snapToGrid w:val="0"/>
        <w:spacing w:before="156" w:beforeLines="50" w:after="50" w:line="38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（供应商名称）系中华人民共和国合法企业，经营地址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（供应商名称）的法定代表人，我方愿意参加贵方组织的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项目的磋商活动，为便于贵方公正、择优地确定成交供应商及其竞标产品和服务，我方就本次磋商有关事项郑重声明如下：</w:t>
      </w:r>
    </w:p>
    <w:p>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2.我方不是采购人的附属机构；在获知本项目采购信息后，与采购人聘请的为此项目提供咨询服务的公司及其附属机构没有任何联系。</w:t>
      </w:r>
    </w:p>
    <w:p>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3.我方此次向贵方提供的产品（服务）名称为：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；我方承诺具备履行合同所必需的设备和专业技术能力。</w:t>
      </w:r>
    </w:p>
    <w:p>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4.我方诚意提请贵方关注：近期有关该产品（服务）方面的重大决策和事项有：</w:t>
      </w:r>
    </w:p>
    <w:p>
      <w:pPr>
        <w:snapToGrid w:val="0"/>
        <w:spacing w:before="156" w:beforeLines="50"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　　　　　　　　　　　　　　　　　　　　　　　　　　　</w:t>
      </w:r>
    </w:p>
    <w:p>
      <w:pPr>
        <w:snapToGrid w:val="0"/>
        <w:spacing w:before="156" w:beforeLines="50"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　　　　　　　　　　　　　　　　　　　　　　　　　　　</w:t>
      </w:r>
    </w:p>
    <w:p>
      <w:pPr>
        <w:pStyle w:val="18"/>
        <w:snapToGrid w:val="0"/>
        <w:spacing w:line="380" w:lineRule="exact"/>
        <w:ind w:firstLine="420" w:firstLineChars="20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 以上事项如有虚假或隐瞒，我方愿意承担一切后果，并不再寻求任何旨在减轻或免除法律责任的辩解。</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6.我方就对本次响应文件进行注明如下：（两项内容中必须选择一项）</w:t>
      </w:r>
    </w:p>
    <w:p>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pPr>
        <w:pStyle w:val="20"/>
        <w:tabs>
          <w:tab w:val="left" w:pos="939"/>
        </w:tabs>
        <w:snapToGrid w:val="0"/>
        <w:spacing w:line="380" w:lineRule="exact"/>
        <w:ind w:left="849" w:leftChars="150" w:hanging="534" w:hangingChars="191"/>
        <w:rPr>
          <w:rFonts w:ascii="宋体" w:hAnsi="宋体" w:cs="宋体"/>
          <w:color w:val="auto"/>
          <w:szCs w:val="21"/>
          <w:highlight w:val="none"/>
        </w:rPr>
      </w:pPr>
    </w:p>
    <w:p>
      <w:pPr>
        <w:pStyle w:val="120"/>
        <w:snapToGrid w:val="0"/>
        <w:spacing w:before="156" w:beforeLines="50" w:line="380" w:lineRule="exact"/>
        <w:ind w:firstLine="200"/>
        <w:rPr>
          <w:rFonts w:ascii="宋体" w:hAnsi="宋体" w:cs="宋体"/>
          <w:color w:val="auto"/>
          <w:sz w:val="21"/>
          <w:szCs w:val="21"/>
          <w:highlight w:val="none"/>
        </w:rPr>
      </w:pPr>
    </w:p>
    <w:p>
      <w:pPr>
        <w:snapToGrid w:val="0"/>
        <w:spacing w:before="156" w:beforeLines="50" w:line="380" w:lineRule="exact"/>
        <w:ind w:right="480" w:firstLine="4792" w:firstLineChars="2282"/>
        <w:rPr>
          <w:rFonts w:ascii="宋体" w:hAnsi="宋体" w:cs="宋体"/>
          <w:color w:val="auto"/>
          <w:szCs w:val="21"/>
          <w:highlight w:val="none"/>
          <w:u w:val="singl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napToGrid w:val="0"/>
        <w:spacing w:before="156" w:beforeLines="50" w:after="50" w:line="380" w:lineRule="exact"/>
        <w:ind w:right="480" w:firstLine="4830" w:firstLineChars="2300"/>
        <w:rPr>
          <w:rFonts w:ascii="宋体" w:hAnsi="宋体" w:cs="宋体"/>
          <w:color w:val="auto"/>
          <w:szCs w:val="21"/>
          <w:highlight w:val="none"/>
        </w:rPr>
      </w:pPr>
      <w:r>
        <w:rPr>
          <w:rFonts w:hint="eastAsia" w:ascii="宋体" w:hAnsi="宋体" w:cs="宋体"/>
          <w:color w:val="auto"/>
          <w:szCs w:val="21"/>
          <w:highlight w:val="none"/>
        </w:rPr>
        <w:t>供应商公章：</w:t>
      </w:r>
      <w:r>
        <w:rPr>
          <w:rFonts w:hint="eastAsia" w:ascii="宋体" w:hAnsi="宋体" w:cs="宋体"/>
          <w:color w:val="auto"/>
          <w:szCs w:val="21"/>
          <w:highlight w:val="none"/>
          <w:u w:val="single"/>
        </w:rPr>
        <w:t xml:space="preserve">                 </w:t>
      </w:r>
    </w:p>
    <w:p>
      <w:pPr>
        <w:snapToGrid w:val="0"/>
        <w:spacing w:before="156" w:beforeLines="50" w:after="50" w:line="380" w:lineRule="exact"/>
        <w:ind w:right="480" w:firstLine="210" w:firstLineChars="100"/>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p>
      <w:pPr>
        <w:adjustRightInd w:val="0"/>
        <w:snapToGrid w:val="0"/>
        <w:spacing w:line="500" w:lineRule="exac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 xml:space="preserve">附件三 </w:t>
      </w:r>
    </w:p>
    <w:p>
      <w:pPr>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商务、技术（服务）响应、偏离情况说明表</w:t>
      </w:r>
    </w:p>
    <w:p>
      <w:pPr>
        <w:spacing w:line="300" w:lineRule="auto"/>
        <w:rPr>
          <w:rFonts w:ascii="宋体" w:hAnsi="宋体" w:cs="宋体"/>
          <w:color w:val="auto"/>
          <w:szCs w:val="21"/>
          <w:highlight w:val="none"/>
        </w:rPr>
      </w:pP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采购项目名称:</w:t>
      </w:r>
      <w:r>
        <w:rPr>
          <w:rFonts w:hint="eastAsia" w:ascii="宋体" w:hAnsi="宋体" w:cs="宋体"/>
          <w:color w:val="auto"/>
          <w:szCs w:val="21"/>
          <w:highlight w:val="none"/>
          <w:u w:val="single"/>
        </w:rPr>
        <w:t xml:space="preserve">                 </w:t>
      </w:r>
    </w:p>
    <w:p>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38"/>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rFonts w:ascii="宋体" w:hAnsi="宋体" w:cs="宋体"/>
                <w:color w:val="auto"/>
                <w:highlight w:val="none"/>
              </w:rPr>
            </w:pPr>
            <w:bookmarkStart w:id="52" w:name="_Toc173211900"/>
            <w:bookmarkStart w:id="53" w:name="_Toc254970729"/>
            <w:bookmarkStart w:id="54" w:name="_Toc173066401"/>
            <w:bookmarkStart w:id="55" w:name="_Toc254970588"/>
            <w:r>
              <w:rPr>
                <w:rFonts w:hint="eastAsia" w:ascii="宋体" w:hAnsi="宋体" w:cs="宋体"/>
                <w:color w:val="auto"/>
                <w:highlight w:val="none"/>
              </w:rPr>
              <w:t>序号</w:t>
            </w:r>
            <w:bookmarkEnd w:id="52"/>
            <w:bookmarkEnd w:id="53"/>
            <w:bookmarkEnd w:id="54"/>
            <w:bookmarkEnd w:id="55"/>
          </w:p>
        </w:tc>
        <w:tc>
          <w:tcPr>
            <w:tcW w:w="3013" w:type="dxa"/>
            <w:vAlign w:val="center"/>
          </w:tcPr>
          <w:p>
            <w:pPr>
              <w:jc w:val="center"/>
              <w:rPr>
                <w:rFonts w:ascii="宋体" w:hAnsi="宋体" w:cs="宋体"/>
                <w:color w:val="auto"/>
                <w:highlight w:val="none"/>
              </w:rPr>
            </w:pPr>
            <w:bookmarkStart w:id="56" w:name="_Toc254970589"/>
            <w:bookmarkStart w:id="57" w:name="_Toc173211901"/>
            <w:bookmarkStart w:id="58" w:name="_Toc254970730"/>
            <w:bookmarkStart w:id="59" w:name="_Toc173066402"/>
            <w:r>
              <w:rPr>
                <w:rFonts w:hint="eastAsia" w:ascii="宋体" w:hAnsi="宋体" w:cs="宋体"/>
                <w:color w:val="auto"/>
                <w:highlight w:val="none"/>
              </w:rPr>
              <w:t>竞争性磋商文件要求</w:t>
            </w:r>
            <w:bookmarkEnd w:id="56"/>
            <w:bookmarkEnd w:id="57"/>
            <w:bookmarkEnd w:id="58"/>
            <w:bookmarkEnd w:id="59"/>
          </w:p>
        </w:tc>
        <w:tc>
          <w:tcPr>
            <w:tcW w:w="3159" w:type="dxa"/>
            <w:vAlign w:val="center"/>
          </w:tcPr>
          <w:p>
            <w:pPr>
              <w:jc w:val="center"/>
              <w:rPr>
                <w:rFonts w:ascii="宋体" w:hAnsi="宋体" w:cs="宋体"/>
                <w:color w:val="auto"/>
                <w:highlight w:val="none"/>
              </w:rPr>
            </w:pPr>
            <w:bookmarkStart w:id="60" w:name="_Toc173066403"/>
            <w:bookmarkStart w:id="61" w:name="_Toc173211902"/>
            <w:bookmarkStart w:id="62" w:name="_Toc254970731"/>
            <w:bookmarkStart w:id="63" w:name="_Toc254970590"/>
            <w:r>
              <w:rPr>
                <w:rFonts w:hint="eastAsia" w:ascii="宋体" w:hAnsi="宋体" w:cs="宋体"/>
                <w:color w:val="auto"/>
                <w:highlight w:val="none"/>
              </w:rPr>
              <w:t>竞争性磋商响应文件具体响应</w:t>
            </w:r>
            <w:bookmarkEnd w:id="60"/>
            <w:bookmarkEnd w:id="61"/>
            <w:bookmarkEnd w:id="62"/>
            <w:bookmarkEnd w:id="63"/>
          </w:p>
        </w:tc>
        <w:tc>
          <w:tcPr>
            <w:tcW w:w="1571" w:type="dxa"/>
            <w:vAlign w:val="center"/>
          </w:tcPr>
          <w:p>
            <w:pPr>
              <w:jc w:val="center"/>
              <w:rPr>
                <w:rFonts w:ascii="宋体" w:hAnsi="宋体" w:cs="宋体"/>
                <w:color w:val="auto"/>
                <w:highlight w:val="none"/>
              </w:rPr>
            </w:pPr>
            <w:bookmarkStart w:id="64" w:name="_Toc254970732"/>
            <w:bookmarkStart w:id="65" w:name="_Toc254970591"/>
            <w:bookmarkStart w:id="66" w:name="_Toc173211903"/>
            <w:bookmarkStart w:id="67" w:name="_Toc173066404"/>
            <w:r>
              <w:rPr>
                <w:rFonts w:hint="eastAsia" w:ascii="宋体" w:hAnsi="宋体" w:cs="宋体"/>
                <w:color w:val="auto"/>
                <w:highlight w:val="none"/>
              </w:rPr>
              <w:t>响应/偏离</w:t>
            </w:r>
            <w:bookmarkEnd w:id="64"/>
            <w:bookmarkEnd w:id="65"/>
            <w:bookmarkEnd w:id="66"/>
            <w:bookmarkEnd w:id="67"/>
          </w:p>
        </w:tc>
        <w:tc>
          <w:tcPr>
            <w:tcW w:w="1460" w:type="dxa"/>
            <w:vAlign w:val="center"/>
          </w:tcPr>
          <w:p>
            <w:pPr>
              <w:jc w:val="center"/>
              <w:rPr>
                <w:rFonts w:ascii="宋体" w:hAnsi="宋体" w:cs="宋体"/>
                <w:color w:val="auto"/>
                <w:highlight w:val="none"/>
              </w:rPr>
            </w:pPr>
            <w:bookmarkStart w:id="68" w:name="_Toc254970733"/>
            <w:bookmarkStart w:id="69" w:name="_Toc254970592"/>
            <w:bookmarkStart w:id="70" w:name="_Toc173066405"/>
            <w:bookmarkStart w:id="71" w:name="_Toc173211904"/>
            <w:r>
              <w:rPr>
                <w:rFonts w:hint="eastAsia" w:ascii="宋体" w:hAnsi="宋体" w:cs="宋体"/>
                <w:color w:val="auto"/>
                <w:highlight w:val="none"/>
              </w:rPr>
              <w:t>说明</w:t>
            </w:r>
            <w:bookmarkEnd w:id="68"/>
            <w:bookmarkEnd w:id="69"/>
            <w:bookmarkEnd w:id="70"/>
            <w:bookmarkEnd w:id="7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color w:val="auto"/>
                <w:highlight w:val="none"/>
              </w:rPr>
            </w:pPr>
            <w:bookmarkStart w:id="72" w:name="_Toc476258666"/>
            <w:r>
              <w:rPr>
                <w:rFonts w:hint="eastAsia" w:ascii="宋体" w:hAnsi="宋体" w:cs="宋体"/>
                <w:color w:val="auto"/>
                <w:highlight w:val="none"/>
              </w:rPr>
              <w:t>商务部分</w:t>
            </w:r>
            <w:bookmarkEnd w:id="72"/>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vAlign w:val="center"/>
          </w:tcPr>
          <w:p>
            <w:pPr>
              <w:jc w:val="center"/>
              <w:rPr>
                <w:rFonts w:ascii="宋体" w:hAnsi="宋体" w:cs="宋体"/>
                <w:color w:val="auto"/>
                <w:highlight w:val="none"/>
              </w:rPr>
            </w:pPr>
            <w:bookmarkStart w:id="73" w:name="_Toc254970734"/>
            <w:bookmarkStart w:id="74" w:name="_Toc173211905"/>
            <w:bookmarkStart w:id="75" w:name="_Toc173066406"/>
            <w:bookmarkStart w:id="76" w:name="_Toc254970593"/>
            <w:r>
              <w:rPr>
                <w:rFonts w:hint="eastAsia" w:ascii="宋体" w:hAnsi="宋体" w:cs="宋体"/>
                <w:color w:val="auto"/>
                <w:highlight w:val="none"/>
              </w:rPr>
              <w:t>1</w:t>
            </w:r>
            <w:bookmarkEnd w:id="73"/>
            <w:bookmarkEnd w:id="74"/>
            <w:bookmarkEnd w:id="75"/>
            <w:bookmarkEnd w:id="76"/>
          </w:p>
        </w:tc>
        <w:tc>
          <w:tcPr>
            <w:tcW w:w="3013" w:type="dxa"/>
            <w:vAlign w:val="center"/>
          </w:tcPr>
          <w:p>
            <w:pPr>
              <w:tabs>
                <w:tab w:val="left" w:pos="180"/>
                <w:tab w:val="left" w:pos="1620"/>
              </w:tabs>
              <w:spacing w:line="400" w:lineRule="exact"/>
              <w:jc w:val="center"/>
              <w:rPr>
                <w:rFonts w:ascii="宋体" w:hAnsi="宋体" w:cs="宋体"/>
                <w:color w:val="auto"/>
                <w:szCs w:val="21"/>
                <w:highlight w:val="none"/>
              </w:rPr>
            </w:pPr>
            <w:r>
              <w:rPr>
                <w:rFonts w:hint="eastAsia"/>
                <w:color w:val="auto"/>
                <w:highlight w:val="none"/>
              </w:rPr>
              <w:t>服务时间及地点</w:t>
            </w:r>
          </w:p>
        </w:tc>
        <w:tc>
          <w:tcPr>
            <w:tcW w:w="3159" w:type="dxa"/>
          </w:tcPr>
          <w:p>
            <w:pPr>
              <w:rPr>
                <w:rFonts w:ascii="宋体" w:hAnsi="宋体" w:cs="宋体"/>
                <w:color w:val="auto"/>
                <w:highlight w:val="none"/>
              </w:rPr>
            </w:pPr>
          </w:p>
        </w:tc>
        <w:tc>
          <w:tcPr>
            <w:tcW w:w="1571" w:type="dxa"/>
            <w:vAlign w:val="center"/>
          </w:tcPr>
          <w:p>
            <w:pPr>
              <w:jc w:val="center"/>
              <w:rPr>
                <w:rFonts w:ascii="宋体" w:hAnsi="宋体" w:cs="宋体"/>
                <w:color w:val="auto"/>
                <w:highlight w:val="none"/>
              </w:rPr>
            </w:pPr>
          </w:p>
        </w:tc>
        <w:tc>
          <w:tcPr>
            <w:tcW w:w="1460"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bookmarkStart w:id="77" w:name="_Toc254970594"/>
            <w:bookmarkStart w:id="78" w:name="_Toc173211906"/>
            <w:bookmarkStart w:id="79" w:name="_Toc173066407"/>
            <w:bookmarkStart w:id="80" w:name="_Toc254970735"/>
            <w:r>
              <w:rPr>
                <w:rFonts w:hint="eastAsia" w:ascii="宋体" w:hAnsi="宋体" w:cs="宋体"/>
                <w:color w:val="auto"/>
                <w:highlight w:val="none"/>
              </w:rPr>
              <w:t>2</w:t>
            </w:r>
            <w:bookmarkEnd w:id="77"/>
            <w:bookmarkEnd w:id="78"/>
            <w:bookmarkEnd w:id="79"/>
            <w:bookmarkEnd w:id="80"/>
          </w:p>
        </w:tc>
        <w:tc>
          <w:tcPr>
            <w:tcW w:w="3013" w:type="dxa"/>
            <w:vAlign w:val="center"/>
          </w:tcPr>
          <w:p>
            <w:pPr>
              <w:tabs>
                <w:tab w:val="left" w:pos="180"/>
                <w:tab w:val="left" w:pos="1620"/>
              </w:tabs>
              <w:spacing w:line="400" w:lineRule="exact"/>
              <w:jc w:val="center"/>
              <w:rPr>
                <w:rFonts w:ascii="宋体" w:hAnsi="宋体" w:cs="宋体"/>
                <w:color w:val="auto"/>
                <w:szCs w:val="21"/>
                <w:highlight w:val="none"/>
              </w:rPr>
            </w:pPr>
            <w:r>
              <w:rPr>
                <w:rFonts w:hint="eastAsia"/>
                <w:color w:val="auto"/>
                <w:highlight w:val="none"/>
              </w:rPr>
              <w:t>报价要求</w:t>
            </w:r>
          </w:p>
        </w:tc>
        <w:tc>
          <w:tcPr>
            <w:tcW w:w="3159" w:type="dxa"/>
          </w:tcPr>
          <w:p>
            <w:pPr>
              <w:rPr>
                <w:rFonts w:ascii="宋体" w:hAnsi="宋体" w:cs="宋体"/>
                <w:color w:val="auto"/>
                <w:highlight w:val="none"/>
              </w:rPr>
            </w:pPr>
          </w:p>
        </w:tc>
        <w:tc>
          <w:tcPr>
            <w:tcW w:w="1571" w:type="dxa"/>
            <w:vAlign w:val="center"/>
          </w:tcPr>
          <w:p>
            <w:pPr>
              <w:jc w:val="center"/>
              <w:rPr>
                <w:rFonts w:ascii="宋体" w:hAnsi="宋体" w:cs="宋体"/>
                <w:color w:val="auto"/>
                <w:highlight w:val="none"/>
              </w:rPr>
            </w:pPr>
          </w:p>
        </w:tc>
        <w:tc>
          <w:tcPr>
            <w:tcW w:w="1460"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3013" w:type="dxa"/>
            <w:vAlign w:val="center"/>
          </w:tcPr>
          <w:p>
            <w:pPr>
              <w:tabs>
                <w:tab w:val="left" w:pos="180"/>
                <w:tab w:val="left" w:pos="1620"/>
              </w:tabs>
              <w:spacing w:line="400" w:lineRule="exact"/>
              <w:jc w:val="center"/>
              <w:rPr>
                <w:rFonts w:ascii="宋体" w:hAnsi="宋体"/>
                <w:color w:val="auto"/>
                <w:highlight w:val="none"/>
              </w:rPr>
            </w:pPr>
            <w:r>
              <w:rPr>
                <w:rFonts w:hint="eastAsia"/>
                <w:color w:val="auto"/>
                <w:highlight w:val="none"/>
              </w:rPr>
              <w:t>服务响应要求</w:t>
            </w:r>
          </w:p>
        </w:tc>
        <w:tc>
          <w:tcPr>
            <w:tcW w:w="3159" w:type="dxa"/>
          </w:tcPr>
          <w:p>
            <w:pPr>
              <w:rPr>
                <w:rFonts w:ascii="宋体" w:hAnsi="宋体" w:cs="宋体"/>
                <w:color w:val="auto"/>
                <w:highlight w:val="none"/>
              </w:rPr>
            </w:pPr>
          </w:p>
        </w:tc>
        <w:tc>
          <w:tcPr>
            <w:tcW w:w="1571" w:type="dxa"/>
            <w:vAlign w:val="center"/>
          </w:tcPr>
          <w:p>
            <w:pPr>
              <w:jc w:val="center"/>
              <w:rPr>
                <w:rFonts w:ascii="宋体" w:hAnsi="宋体" w:cs="宋体"/>
                <w:color w:val="auto"/>
                <w:highlight w:val="none"/>
              </w:rPr>
            </w:pPr>
          </w:p>
        </w:tc>
        <w:tc>
          <w:tcPr>
            <w:tcW w:w="1460"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r>
              <w:rPr>
                <w:rFonts w:hint="eastAsia" w:ascii="宋体" w:hAnsi="宋体" w:cs="宋体"/>
                <w:color w:val="auto"/>
                <w:highlight w:val="none"/>
              </w:rPr>
              <w:t>4</w:t>
            </w:r>
          </w:p>
        </w:tc>
        <w:tc>
          <w:tcPr>
            <w:tcW w:w="3013" w:type="dxa"/>
            <w:vAlign w:val="center"/>
          </w:tcPr>
          <w:p>
            <w:pPr>
              <w:spacing w:line="400" w:lineRule="exact"/>
              <w:jc w:val="center"/>
              <w:rPr>
                <w:rFonts w:ascii="宋体" w:hAnsi="宋体" w:cs="宋体"/>
                <w:color w:val="auto"/>
                <w:szCs w:val="21"/>
                <w:highlight w:val="none"/>
              </w:rPr>
            </w:pPr>
            <w:r>
              <w:rPr>
                <w:rFonts w:hint="eastAsia"/>
                <w:color w:val="auto"/>
                <w:highlight w:val="none"/>
              </w:rPr>
              <w:t>投入人员要求</w:t>
            </w:r>
          </w:p>
        </w:tc>
        <w:tc>
          <w:tcPr>
            <w:tcW w:w="3159" w:type="dxa"/>
          </w:tcPr>
          <w:p>
            <w:pPr>
              <w:rPr>
                <w:rFonts w:ascii="宋体" w:hAnsi="宋体" w:cs="宋体"/>
                <w:color w:val="auto"/>
                <w:highlight w:val="none"/>
              </w:rPr>
            </w:pPr>
          </w:p>
        </w:tc>
        <w:tc>
          <w:tcPr>
            <w:tcW w:w="1571" w:type="dxa"/>
            <w:vAlign w:val="center"/>
          </w:tcPr>
          <w:p>
            <w:pPr>
              <w:jc w:val="center"/>
              <w:rPr>
                <w:rFonts w:ascii="宋体" w:hAnsi="宋体" w:cs="宋体"/>
                <w:color w:val="auto"/>
                <w:highlight w:val="none"/>
              </w:rPr>
            </w:pPr>
          </w:p>
        </w:tc>
        <w:tc>
          <w:tcPr>
            <w:tcW w:w="1460"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r>
              <w:rPr>
                <w:rFonts w:hint="eastAsia" w:ascii="宋体" w:hAnsi="宋体" w:cs="宋体"/>
                <w:color w:val="auto"/>
                <w:highlight w:val="none"/>
              </w:rPr>
              <w:t>5</w:t>
            </w:r>
          </w:p>
        </w:tc>
        <w:tc>
          <w:tcPr>
            <w:tcW w:w="3013" w:type="dxa"/>
            <w:vAlign w:val="center"/>
          </w:tcPr>
          <w:p>
            <w:pPr>
              <w:jc w:val="center"/>
              <w:rPr>
                <w:rFonts w:ascii="宋体" w:hAnsi="宋体" w:cs="宋体"/>
                <w:color w:val="auto"/>
                <w:szCs w:val="21"/>
                <w:highlight w:val="none"/>
              </w:rPr>
            </w:pPr>
            <w:r>
              <w:rPr>
                <w:rFonts w:hint="eastAsia"/>
                <w:color w:val="auto"/>
                <w:highlight w:val="none"/>
              </w:rPr>
              <w:t>付款条件</w:t>
            </w:r>
          </w:p>
        </w:tc>
        <w:tc>
          <w:tcPr>
            <w:tcW w:w="3159" w:type="dxa"/>
          </w:tcPr>
          <w:p>
            <w:pPr>
              <w:rPr>
                <w:rFonts w:ascii="宋体" w:hAnsi="宋体" w:cs="宋体"/>
                <w:color w:val="auto"/>
                <w:highlight w:val="none"/>
              </w:rPr>
            </w:pPr>
          </w:p>
        </w:tc>
        <w:tc>
          <w:tcPr>
            <w:tcW w:w="1571" w:type="dxa"/>
            <w:vAlign w:val="center"/>
          </w:tcPr>
          <w:p>
            <w:pPr>
              <w:jc w:val="center"/>
              <w:rPr>
                <w:rFonts w:ascii="宋体" w:hAnsi="宋体" w:cs="宋体"/>
                <w:color w:val="auto"/>
                <w:highlight w:val="none"/>
              </w:rPr>
            </w:pPr>
          </w:p>
        </w:tc>
        <w:tc>
          <w:tcPr>
            <w:tcW w:w="1460"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r>
              <w:rPr>
                <w:rFonts w:hint="eastAsia" w:ascii="宋体" w:hAnsi="宋体" w:cs="宋体"/>
                <w:color w:val="auto"/>
                <w:highlight w:val="none"/>
              </w:rPr>
              <w:t>6</w:t>
            </w:r>
          </w:p>
        </w:tc>
        <w:tc>
          <w:tcPr>
            <w:tcW w:w="3013" w:type="dxa"/>
            <w:vAlign w:val="center"/>
          </w:tcPr>
          <w:p>
            <w:pPr>
              <w:jc w:val="center"/>
              <w:rPr>
                <w:rFonts w:ascii="宋体" w:hAnsi="宋体" w:cs="宋体"/>
                <w:color w:val="auto"/>
                <w:szCs w:val="21"/>
                <w:highlight w:val="none"/>
              </w:rPr>
            </w:pPr>
            <w:r>
              <w:rPr>
                <w:rFonts w:hint="eastAsia"/>
                <w:color w:val="auto"/>
                <w:highlight w:val="none"/>
              </w:rPr>
              <w:t>其他要求</w:t>
            </w:r>
          </w:p>
        </w:tc>
        <w:tc>
          <w:tcPr>
            <w:tcW w:w="3159" w:type="dxa"/>
          </w:tcPr>
          <w:p>
            <w:pPr>
              <w:rPr>
                <w:rFonts w:ascii="宋体" w:hAnsi="宋体" w:cs="宋体"/>
                <w:color w:val="auto"/>
                <w:highlight w:val="none"/>
              </w:rPr>
            </w:pPr>
          </w:p>
        </w:tc>
        <w:tc>
          <w:tcPr>
            <w:tcW w:w="1571" w:type="dxa"/>
            <w:vAlign w:val="center"/>
          </w:tcPr>
          <w:p>
            <w:pPr>
              <w:jc w:val="center"/>
              <w:rPr>
                <w:rFonts w:ascii="宋体" w:hAnsi="宋体" w:cs="宋体"/>
                <w:color w:val="auto"/>
                <w:highlight w:val="none"/>
              </w:rPr>
            </w:pPr>
          </w:p>
        </w:tc>
        <w:tc>
          <w:tcPr>
            <w:tcW w:w="1460" w:type="dxa"/>
            <w:vAlign w:val="center"/>
          </w:tcPr>
          <w:p>
            <w:pPr>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rFonts w:ascii="宋体" w:hAnsi="宋体" w:cs="宋体"/>
                <w:color w:val="auto"/>
                <w:highlight w:val="none"/>
              </w:rPr>
            </w:pPr>
            <w:bookmarkStart w:id="81" w:name="_Toc476258667"/>
            <w:r>
              <w:rPr>
                <w:rFonts w:hint="eastAsia" w:ascii="宋体" w:hAnsi="宋体" w:cs="宋体"/>
                <w:color w:val="auto"/>
                <w:highlight w:val="none"/>
              </w:rPr>
              <w:t>服务（技术）部分</w:t>
            </w:r>
            <w:bookmarkEnd w:id="81"/>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bookmarkStart w:id="82" w:name="_Toc476258668"/>
            <w:r>
              <w:rPr>
                <w:rFonts w:hint="eastAsia" w:ascii="宋体" w:hAnsi="宋体" w:cs="宋体"/>
                <w:color w:val="auto"/>
                <w:highlight w:val="none"/>
              </w:rPr>
              <w:t>1</w:t>
            </w:r>
            <w:bookmarkEnd w:id="82"/>
          </w:p>
        </w:tc>
        <w:tc>
          <w:tcPr>
            <w:tcW w:w="3013" w:type="dxa"/>
            <w:vAlign w:val="center"/>
          </w:tcPr>
          <w:p>
            <w:pPr>
              <w:rPr>
                <w:rFonts w:ascii="宋体" w:hAnsi="宋体" w:cs="宋体"/>
                <w:color w:val="auto"/>
                <w:highlight w:val="none"/>
              </w:rPr>
            </w:pPr>
          </w:p>
        </w:tc>
        <w:tc>
          <w:tcPr>
            <w:tcW w:w="3159" w:type="dxa"/>
            <w:vAlign w:val="center"/>
          </w:tcPr>
          <w:p>
            <w:pPr>
              <w:rPr>
                <w:rFonts w:ascii="宋体" w:hAnsi="宋体" w:cs="宋体"/>
                <w:color w:val="auto"/>
                <w:highlight w:val="none"/>
              </w:rPr>
            </w:pPr>
          </w:p>
        </w:tc>
        <w:tc>
          <w:tcPr>
            <w:tcW w:w="1571" w:type="dxa"/>
            <w:vAlign w:val="center"/>
          </w:tcPr>
          <w:p>
            <w:pPr>
              <w:rPr>
                <w:rFonts w:ascii="宋体" w:hAnsi="宋体" w:cs="宋体"/>
                <w:color w:val="auto"/>
                <w:highlight w:val="none"/>
              </w:rPr>
            </w:pPr>
          </w:p>
        </w:tc>
        <w:tc>
          <w:tcPr>
            <w:tcW w:w="1460"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bookmarkStart w:id="83" w:name="_Toc476258669"/>
            <w:r>
              <w:rPr>
                <w:rFonts w:hint="eastAsia" w:ascii="宋体" w:hAnsi="宋体" w:cs="宋体"/>
                <w:color w:val="auto"/>
                <w:highlight w:val="none"/>
              </w:rPr>
              <w:t>2</w:t>
            </w:r>
            <w:bookmarkEnd w:id="83"/>
          </w:p>
        </w:tc>
        <w:tc>
          <w:tcPr>
            <w:tcW w:w="3013" w:type="dxa"/>
            <w:vAlign w:val="center"/>
          </w:tcPr>
          <w:p>
            <w:pPr>
              <w:rPr>
                <w:rFonts w:ascii="宋体" w:hAnsi="宋体" w:cs="宋体"/>
                <w:color w:val="auto"/>
                <w:highlight w:val="none"/>
              </w:rPr>
            </w:pPr>
          </w:p>
        </w:tc>
        <w:tc>
          <w:tcPr>
            <w:tcW w:w="3159" w:type="dxa"/>
            <w:vAlign w:val="center"/>
          </w:tcPr>
          <w:p>
            <w:pPr>
              <w:rPr>
                <w:rFonts w:ascii="宋体" w:hAnsi="宋体" w:cs="宋体"/>
                <w:color w:val="auto"/>
                <w:highlight w:val="none"/>
              </w:rPr>
            </w:pPr>
          </w:p>
        </w:tc>
        <w:tc>
          <w:tcPr>
            <w:tcW w:w="1571" w:type="dxa"/>
            <w:vAlign w:val="center"/>
          </w:tcPr>
          <w:p>
            <w:pPr>
              <w:rPr>
                <w:rFonts w:ascii="宋体" w:hAnsi="宋体" w:cs="宋体"/>
                <w:color w:val="auto"/>
                <w:highlight w:val="none"/>
              </w:rPr>
            </w:pPr>
          </w:p>
        </w:tc>
        <w:tc>
          <w:tcPr>
            <w:tcW w:w="1460"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rFonts w:ascii="宋体" w:hAnsi="宋体" w:cs="宋体"/>
                <w:color w:val="auto"/>
                <w:highlight w:val="none"/>
              </w:rPr>
            </w:pPr>
            <w:bookmarkStart w:id="84" w:name="_Toc476258670"/>
            <w:r>
              <w:rPr>
                <w:rFonts w:hint="eastAsia" w:ascii="宋体" w:hAnsi="宋体" w:cs="宋体"/>
                <w:color w:val="auto"/>
                <w:highlight w:val="none"/>
              </w:rPr>
              <w:t>3</w:t>
            </w:r>
            <w:bookmarkEnd w:id="84"/>
          </w:p>
        </w:tc>
        <w:tc>
          <w:tcPr>
            <w:tcW w:w="3013" w:type="dxa"/>
            <w:vAlign w:val="center"/>
          </w:tcPr>
          <w:p>
            <w:pPr>
              <w:rPr>
                <w:rFonts w:ascii="宋体" w:hAnsi="宋体" w:cs="宋体"/>
                <w:color w:val="auto"/>
                <w:highlight w:val="none"/>
              </w:rPr>
            </w:pPr>
          </w:p>
        </w:tc>
        <w:tc>
          <w:tcPr>
            <w:tcW w:w="3159" w:type="dxa"/>
            <w:vAlign w:val="center"/>
          </w:tcPr>
          <w:p>
            <w:pPr>
              <w:rPr>
                <w:rFonts w:ascii="宋体" w:hAnsi="宋体" w:cs="宋体"/>
                <w:color w:val="auto"/>
                <w:highlight w:val="none"/>
              </w:rPr>
            </w:pPr>
          </w:p>
        </w:tc>
        <w:tc>
          <w:tcPr>
            <w:tcW w:w="1571" w:type="dxa"/>
            <w:vAlign w:val="center"/>
          </w:tcPr>
          <w:p>
            <w:pPr>
              <w:rPr>
                <w:rFonts w:ascii="宋体" w:hAnsi="宋体" w:cs="宋体"/>
                <w:color w:val="auto"/>
                <w:highlight w:val="none"/>
              </w:rPr>
            </w:pPr>
          </w:p>
        </w:tc>
        <w:tc>
          <w:tcPr>
            <w:tcW w:w="1460" w:type="dxa"/>
            <w:vAlign w:val="center"/>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rFonts w:ascii="宋体" w:hAnsi="宋体" w:cs="宋体"/>
                <w:color w:val="auto"/>
                <w:highlight w:val="none"/>
              </w:rPr>
            </w:pPr>
            <w:bookmarkStart w:id="85" w:name="_Toc476258671"/>
            <w:r>
              <w:rPr>
                <w:rFonts w:hint="eastAsia" w:ascii="宋体" w:hAnsi="宋体" w:cs="宋体"/>
                <w:color w:val="auto"/>
                <w:highlight w:val="none"/>
              </w:rPr>
              <w:t>…</w:t>
            </w:r>
            <w:bookmarkEnd w:id="85"/>
          </w:p>
        </w:tc>
        <w:tc>
          <w:tcPr>
            <w:tcW w:w="3013" w:type="dxa"/>
            <w:vAlign w:val="center"/>
          </w:tcPr>
          <w:p>
            <w:pPr>
              <w:rPr>
                <w:rFonts w:ascii="宋体" w:hAnsi="宋体" w:cs="宋体"/>
                <w:color w:val="auto"/>
                <w:highlight w:val="none"/>
              </w:rPr>
            </w:pPr>
          </w:p>
        </w:tc>
        <w:tc>
          <w:tcPr>
            <w:tcW w:w="3159" w:type="dxa"/>
            <w:vAlign w:val="center"/>
          </w:tcPr>
          <w:p>
            <w:pPr>
              <w:rPr>
                <w:rFonts w:ascii="宋体" w:hAnsi="宋体" w:cs="宋体"/>
                <w:color w:val="auto"/>
                <w:highlight w:val="none"/>
              </w:rPr>
            </w:pPr>
          </w:p>
        </w:tc>
        <w:tc>
          <w:tcPr>
            <w:tcW w:w="1571" w:type="dxa"/>
            <w:tcBorders>
              <w:right w:val="single" w:color="auto" w:sz="4" w:space="0"/>
            </w:tcBorders>
            <w:vAlign w:val="center"/>
          </w:tcPr>
          <w:p>
            <w:pPr>
              <w:rPr>
                <w:rFonts w:ascii="宋体" w:hAnsi="宋体" w:cs="宋体"/>
                <w:color w:val="auto"/>
                <w:highlight w:val="none"/>
              </w:rPr>
            </w:pPr>
          </w:p>
        </w:tc>
        <w:tc>
          <w:tcPr>
            <w:tcW w:w="1460" w:type="dxa"/>
            <w:tcBorders>
              <w:left w:val="single" w:color="auto" w:sz="4" w:space="0"/>
            </w:tcBorders>
            <w:vAlign w:val="center"/>
          </w:tcPr>
          <w:p>
            <w:pPr>
              <w:rPr>
                <w:rFonts w:ascii="宋体" w:hAnsi="宋体" w:cs="宋体"/>
                <w:color w:val="auto"/>
                <w:highlight w:val="none"/>
              </w:rPr>
            </w:pPr>
          </w:p>
        </w:tc>
      </w:tr>
    </w:tbl>
    <w:p>
      <w:pPr>
        <w:adjustRightInd w:val="0"/>
        <w:snapToGrid w:val="0"/>
        <w:spacing w:line="360" w:lineRule="exact"/>
        <w:rPr>
          <w:rFonts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highlight w:val="none"/>
        </w:rPr>
        <w:t>1、应写明竞</w:t>
      </w:r>
      <w:r>
        <w:rPr>
          <w:rFonts w:hint="eastAsia" w:ascii="宋体" w:hAnsi="宋体" w:cs="宋体"/>
          <w:b/>
          <w:color w:val="auto"/>
          <w:szCs w:val="21"/>
          <w:highlight w:val="none"/>
        </w:rPr>
        <w:t>争性磋商响应文件对</w:t>
      </w:r>
      <w:r>
        <w:rPr>
          <w:rFonts w:hint="eastAsia" w:ascii="宋体" w:hAnsi="宋体" w:cs="宋体"/>
          <w:b/>
          <w:color w:val="auto"/>
          <w:highlight w:val="none"/>
        </w:rPr>
        <w:t>商务与技术要求的</w:t>
      </w:r>
      <w:r>
        <w:rPr>
          <w:rFonts w:hint="eastAsia" w:ascii="宋体" w:hAnsi="宋体" w:cs="宋体"/>
          <w:b/>
          <w:color w:val="auto"/>
          <w:szCs w:val="21"/>
          <w:highlight w:val="none"/>
        </w:rPr>
        <w:t>响应和偏离情况</w:t>
      </w:r>
      <w:r>
        <w:rPr>
          <w:rFonts w:hint="eastAsia" w:ascii="宋体" w:hAnsi="宋体" w:cs="宋体"/>
          <w:b/>
          <w:bCs/>
          <w:color w:val="auto"/>
          <w:szCs w:val="21"/>
          <w:highlight w:val="none"/>
        </w:rPr>
        <w:t>；</w:t>
      </w:r>
    </w:p>
    <w:p>
      <w:pPr>
        <w:pStyle w:val="18"/>
        <w:spacing w:line="360" w:lineRule="exact"/>
        <w:ind w:firstLine="632" w:firstLineChars="3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2、应对照竞争性磋商文件“第三章 采购项目技术规格、参数及要求”，逐条说明所提供服务已对竞争性磋商文件的商务、技术做出了实质性的响应，并申明商务、技术条文的响应和偏离。特别对有具体商务、技术参数要求的，磋商供应商必须提供对应的详细应答。如果仅注明“符合”、“满足”或简单复制竞争性磋商文件要求，将导致磋商被拒绝。</w:t>
      </w:r>
    </w:p>
    <w:p>
      <w:pPr>
        <w:pStyle w:val="22"/>
        <w:spacing w:line="360" w:lineRule="exact"/>
        <w:rPr>
          <w:rFonts w:hAnsi="宋体" w:cs="宋体"/>
          <w:color w:val="auto"/>
          <w:highlight w:val="none"/>
        </w:rPr>
      </w:pPr>
    </w:p>
    <w:p>
      <w:pPr>
        <w:pStyle w:val="22"/>
        <w:spacing w:line="480" w:lineRule="auto"/>
        <w:ind w:firstLine="1470" w:firstLineChars="700"/>
        <w:rPr>
          <w:rFonts w:hAnsi="宋体" w:cs="宋体"/>
          <w:color w:val="auto"/>
          <w:highlight w:val="none"/>
        </w:rPr>
      </w:pPr>
      <w:r>
        <w:rPr>
          <w:rFonts w:hint="eastAsia" w:hAnsi="宋体" w:cs="宋体"/>
          <w:color w:val="auto"/>
          <w:highlight w:val="none"/>
        </w:rPr>
        <w:t xml:space="preserve">                       法定代表人或委托代理人签字:</w:t>
      </w:r>
      <w:r>
        <w:rPr>
          <w:rFonts w:hint="eastAsia" w:hAnsi="宋体" w:cs="宋体"/>
          <w:color w:val="auto"/>
          <w:highlight w:val="none"/>
          <w:u w:val="single"/>
        </w:rPr>
        <w:t xml:space="preserve">                </w:t>
      </w:r>
    </w:p>
    <w:p>
      <w:pPr>
        <w:pStyle w:val="22"/>
        <w:spacing w:line="480" w:lineRule="auto"/>
        <w:ind w:firstLine="4935" w:firstLineChars="2350"/>
        <w:rPr>
          <w:rFonts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300" w:lineRule="auto"/>
        <w:rPr>
          <w:rFonts w:ascii="宋体" w:hAnsi="宋体" w:cs="宋体"/>
          <w:color w:val="auto"/>
          <w:szCs w:val="21"/>
          <w:highlight w:val="none"/>
        </w:rPr>
      </w:pPr>
    </w:p>
    <w:p>
      <w:pPr>
        <w:spacing w:line="500" w:lineRule="exact"/>
        <w:rPr>
          <w:rFonts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color w:val="auto"/>
          <w:szCs w:val="21"/>
          <w:highlight w:val="none"/>
        </w:rPr>
        <w:t>附件四</w:t>
      </w:r>
    </w:p>
    <w:p>
      <w:pPr>
        <w:adjustRightInd w:val="0"/>
        <w:snapToGrid w:val="0"/>
        <w:spacing w:line="30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pPr>
        <w:adjustRightInd w:val="0"/>
        <w:snapToGrid w:val="0"/>
        <w:spacing w:line="520" w:lineRule="exact"/>
        <w:rPr>
          <w:rFonts w:ascii="宋体" w:hAnsi="宋体" w:cs="宋体"/>
          <w:color w:val="auto"/>
          <w:szCs w:val="21"/>
          <w:highlight w:val="none"/>
        </w:rPr>
      </w:pPr>
    </w:p>
    <w:p>
      <w:pPr>
        <w:spacing w:line="520" w:lineRule="exact"/>
        <w:rPr>
          <w:rFonts w:ascii="宋体" w:hAnsi="宋体" w:cs="宋体"/>
          <w:color w:val="auto"/>
          <w:szCs w:val="21"/>
          <w:highlight w:val="none"/>
        </w:rPr>
      </w:pPr>
      <w:r>
        <w:rPr>
          <w:rFonts w:hint="eastAsia" w:ascii="宋体" w:hAnsi="宋体" w:cs="宋体"/>
          <w:color w:val="auto"/>
          <w:szCs w:val="21"/>
          <w:highlight w:val="none"/>
          <w:u w:val="single"/>
        </w:rPr>
        <w:t>广西国建项目管理有限公司</w:t>
      </w:r>
      <w:r>
        <w:rPr>
          <w:rFonts w:hint="eastAsia" w:ascii="宋体" w:hAnsi="宋体" w:cs="宋体"/>
          <w:color w:val="auto"/>
          <w:szCs w:val="21"/>
          <w:highlight w:val="none"/>
        </w:rPr>
        <w:t>：</w:t>
      </w:r>
    </w:p>
    <w:p>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兹授权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同志为我公司参加贵单位组织的</w:t>
      </w:r>
      <w:r>
        <w:rPr>
          <w:rFonts w:hint="eastAsia" w:ascii="宋体" w:hAnsi="宋体" w:cs="宋体"/>
          <w:color w:val="auto"/>
          <w:szCs w:val="21"/>
          <w:highlight w:val="none"/>
          <w:u w:val="single"/>
        </w:rPr>
        <w:t>（采购项目名称、采购项目编号）竞争性磋商</w:t>
      </w:r>
      <w:r>
        <w:rPr>
          <w:rFonts w:hint="eastAsia" w:ascii="宋体" w:hAnsi="宋体" w:cs="宋体"/>
          <w:color w:val="auto"/>
          <w:szCs w:val="21"/>
          <w:highlight w:val="none"/>
        </w:rPr>
        <w:t>采购活动的委托代理人，全权代表我公司处理在该项目活动中的一切事宜。代理期限从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pPr>
        <w:spacing w:line="520" w:lineRule="exact"/>
        <w:rPr>
          <w:rFonts w:ascii="宋体" w:hAnsi="宋体" w:cs="宋体"/>
          <w:color w:val="auto"/>
          <w:szCs w:val="21"/>
          <w:highlight w:val="none"/>
        </w:rPr>
      </w:pPr>
    </w:p>
    <w:p>
      <w:pPr>
        <w:spacing w:line="520" w:lineRule="exact"/>
        <w:rPr>
          <w:rFonts w:ascii="宋体" w:hAnsi="宋体" w:cs="宋体"/>
          <w:color w:val="auto"/>
          <w:szCs w:val="21"/>
          <w:highlight w:val="none"/>
        </w:rPr>
      </w:pPr>
      <w:r>
        <w:rPr>
          <w:rFonts w:hint="eastAsia" w:ascii="宋体" w:hAnsi="宋体" w:cs="宋体"/>
          <w:color w:val="auto"/>
          <w:szCs w:val="21"/>
          <w:highlight w:val="none"/>
        </w:rPr>
        <w:t>磋商供应商（盖章）：</w:t>
      </w:r>
      <w:r>
        <w:rPr>
          <w:rFonts w:hint="eastAsia" w:ascii="宋体" w:hAnsi="宋体" w:cs="宋体"/>
          <w:color w:val="auto"/>
          <w:szCs w:val="21"/>
          <w:highlight w:val="none"/>
          <w:u w:val="single"/>
        </w:rPr>
        <w:t xml:space="preserve">                   </w:t>
      </w:r>
    </w:p>
    <w:p>
      <w:pPr>
        <w:spacing w:line="52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520" w:lineRule="exact"/>
        <w:rPr>
          <w:rFonts w:ascii="宋体" w:hAnsi="宋体" w:cs="宋体"/>
          <w:color w:val="auto"/>
          <w:szCs w:val="21"/>
          <w:highlight w:val="none"/>
        </w:rPr>
      </w:pPr>
      <w:r>
        <w:rPr>
          <w:rFonts w:hint="eastAsia" w:ascii="宋体" w:hAnsi="宋体" w:cs="宋体"/>
          <w:color w:val="auto"/>
          <w:szCs w:val="21"/>
          <w:highlight w:val="none"/>
        </w:rPr>
        <w:t>签发日期：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520" w:lineRule="exact"/>
        <w:rPr>
          <w:rFonts w:ascii="宋体" w:hAnsi="宋体" w:cs="宋体"/>
          <w:color w:val="auto"/>
          <w:szCs w:val="21"/>
          <w:highlight w:val="none"/>
        </w:rPr>
      </w:pPr>
    </w:p>
    <w:p>
      <w:pPr>
        <w:spacing w:line="520" w:lineRule="exact"/>
        <w:rPr>
          <w:rFonts w:ascii="宋体" w:hAnsi="宋体" w:cs="宋体"/>
          <w:color w:val="auto"/>
          <w:szCs w:val="21"/>
          <w:highlight w:val="none"/>
        </w:rPr>
      </w:pPr>
      <w:r>
        <w:rPr>
          <w:rFonts w:hint="eastAsia" w:ascii="宋体" w:hAnsi="宋体" w:cs="宋体"/>
          <w:color w:val="auto"/>
          <w:szCs w:val="21"/>
          <w:highlight w:val="none"/>
        </w:rPr>
        <w:t>附：委托代理人工作单位：</w:t>
      </w:r>
      <w:r>
        <w:rPr>
          <w:rFonts w:hint="eastAsia" w:ascii="宋体" w:hAnsi="宋体" w:cs="宋体"/>
          <w:color w:val="auto"/>
          <w:szCs w:val="21"/>
          <w:highlight w:val="none"/>
          <w:u w:val="single"/>
        </w:rPr>
        <w:t xml:space="preserve">                      </w:t>
      </w:r>
    </w:p>
    <w:p>
      <w:pPr>
        <w:spacing w:line="5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p>
    <w:p>
      <w:pPr>
        <w:adjustRightInd w:val="0"/>
        <w:snapToGrid w:val="0"/>
        <w:spacing w:line="52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pPr>
        <w:adjustRightInd w:val="0"/>
        <w:snapToGrid w:val="0"/>
        <w:spacing w:line="520" w:lineRule="exact"/>
        <w:ind w:firstLine="420" w:firstLineChars="200"/>
        <w:rPr>
          <w:rFonts w:ascii="宋体" w:hAnsi="宋体" w:cs="宋体"/>
          <w:color w:val="auto"/>
          <w:szCs w:val="21"/>
          <w:highlight w:val="none"/>
          <w:u w:val="single"/>
        </w:rPr>
      </w:pPr>
    </w:p>
    <w:tbl>
      <w:tblPr>
        <w:tblStyle w:val="3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tcPr>
          <w:p>
            <w:pPr>
              <w:spacing w:line="300" w:lineRule="auto"/>
              <w:rPr>
                <w:rFonts w:ascii="宋体" w:hAnsi="宋体" w:cs="宋体"/>
                <w:color w:val="auto"/>
                <w:szCs w:val="21"/>
                <w:highlight w:val="none"/>
              </w:rPr>
            </w:pPr>
            <w:r>
              <w:rPr>
                <w:rFonts w:hint="eastAsia" w:ascii="宋体" w:hAnsi="宋体" w:cs="宋体"/>
                <w:color w:val="auto"/>
                <w:szCs w:val="21"/>
                <w:highlight w:val="none"/>
              </w:rPr>
              <w:t>粘贴委托代理人的有效身份证正面及反面复印件</w:t>
            </w:r>
          </w:p>
        </w:tc>
      </w:tr>
    </w:tbl>
    <w:p>
      <w:pPr>
        <w:autoSpaceDE w:val="0"/>
        <w:autoSpaceDN w:val="0"/>
        <w:spacing w:line="300" w:lineRule="auto"/>
        <w:ind w:left="480" w:hanging="480"/>
        <w:rPr>
          <w:rFonts w:ascii="宋体" w:hAnsi="宋体" w:cs="宋体"/>
          <w:color w:val="auto"/>
          <w:szCs w:val="21"/>
          <w:highlight w:val="none"/>
        </w:rPr>
      </w:pPr>
    </w:p>
    <w:p>
      <w:pPr>
        <w:autoSpaceDE w:val="0"/>
        <w:autoSpaceDN w:val="0"/>
        <w:spacing w:line="300" w:lineRule="auto"/>
        <w:ind w:left="480" w:hanging="480"/>
        <w:rPr>
          <w:rFonts w:ascii="宋体" w:hAnsi="宋体" w:cs="宋体"/>
          <w:color w:val="auto"/>
          <w:szCs w:val="21"/>
          <w:highlight w:val="none"/>
        </w:rPr>
      </w:pPr>
      <w:r>
        <w:rPr>
          <w:rFonts w:ascii="宋体" w:hAnsi="宋体" w:cs="宋体"/>
          <w:color w:val="auto"/>
          <w:szCs w:val="21"/>
          <w:highlight w:val="none"/>
        </w:rPr>
        <w:br w:type="page"/>
      </w:r>
    </w:p>
    <w:p>
      <w:pPr>
        <w:pStyle w:val="22"/>
        <w:spacing w:line="300" w:lineRule="auto"/>
        <w:rPr>
          <w:rFonts w:hAnsi="宋体" w:cs="宋体"/>
          <w:b/>
          <w:bCs/>
          <w:color w:val="auto"/>
          <w:highlight w:val="none"/>
        </w:rPr>
      </w:pPr>
      <w:r>
        <w:rPr>
          <w:rFonts w:hint="eastAsia" w:hAnsi="宋体" w:cs="宋体"/>
          <w:b/>
          <w:bCs/>
          <w:color w:val="auto"/>
          <w:highlight w:val="none"/>
        </w:rPr>
        <w:t>附件五</w:t>
      </w:r>
    </w:p>
    <w:p>
      <w:pPr>
        <w:jc w:val="center"/>
        <w:rPr>
          <w:rFonts w:ascii="Times New Roman" w:hAnsi="Times New Roman"/>
          <w:b/>
          <w:color w:val="auto"/>
          <w:kern w:val="0"/>
          <w:sz w:val="30"/>
          <w:szCs w:val="30"/>
          <w:highlight w:val="none"/>
        </w:rPr>
      </w:pPr>
      <w:r>
        <w:rPr>
          <w:rFonts w:hint="eastAsia" w:ascii="宋体" w:hAnsi="宋体" w:cs="宋体"/>
          <w:color w:val="auto"/>
          <w:kern w:val="0"/>
          <w:highlight w:val="none"/>
        </w:rPr>
        <w:t xml:space="preserve"> </w:t>
      </w:r>
      <w:r>
        <w:rPr>
          <w:rFonts w:hint="eastAsia" w:ascii="Times New Roman" w:hAnsi="Times New Roman"/>
          <w:b/>
          <w:color w:val="auto"/>
          <w:kern w:val="0"/>
          <w:sz w:val="30"/>
          <w:szCs w:val="30"/>
          <w:highlight w:val="none"/>
        </w:rPr>
        <w:t>资格声明函（格式）</w:t>
      </w:r>
    </w:p>
    <w:p>
      <w:pPr>
        <w:jc w:val="center"/>
        <w:rPr>
          <w:rFonts w:ascii="Times New Roman" w:hAnsi="Times New Roman"/>
          <w:b/>
          <w:color w:val="auto"/>
          <w:kern w:val="0"/>
          <w:sz w:val="30"/>
          <w:szCs w:val="30"/>
          <w:highlight w:val="none"/>
        </w:rPr>
      </w:pPr>
    </w:p>
    <w:p>
      <w:pPr>
        <w:tabs>
          <w:tab w:val="left" w:pos="7200"/>
        </w:tabs>
        <w:spacing w:line="360" w:lineRule="auto"/>
        <w:rPr>
          <w:rFonts w:hAnsi="宋体"/>
          <w:color w:val="auto"/>
          <w:szCs w:val="21"/>
          <w:highlight w:val="none"/>
        </w:rPr>
      </w:pPr>
      <w:r>
        <w:rPr>
          <w:rFonts w:hint="eastAsia" w:hAnsi="宋体"/>
          <w:color w:val="auto"/>
          <w:szCs w:val="21"/>
          <w:highlight w:val="none"/>
        </w:rPr>
        <w:t>致：</w:t>
      </w:r>
      <w:r>
        <w:rPr>
          <w:rFonts w:hAnsi="宋体"/>
          <w:color w:val="auto"/>
          <w:szCs w:val="21"/>
          <w:highlight w:val="none"/>
          <w:u w:val="single"/>
        </w:rPr>
        <w:t xml:space="preserve">                      </w:t>
      </w:r>
      <w:r>
        <w:rPr>
          <w:rFonts w:hint="eastAsia" w:hAnsi="宋体"/>
          <w:color w:val="auto"/>
          <w:szCs w:val="21"/>
          <w:highlight w:val="none"/>
        </w:rPr>
        <w:t>（采购代理机构名称）</w:t>
      </w:r>
    </w:p>
    <w:p>
      <w:pPr>
        <w:spacing w:line="440" w:lineRule="exact"/>
        <w:ind w:firstLine="400" w:firstLineChars="200"/>
        <w:jc w:val="left"/>
        <w:rPr>
          <w:rFonts w:hAnsi="Courier New"/>
          <w:color w:val="auto"/>
          <w:sz w:val="20"/>
          <w:szCs w:val="20"/>
          <w:highlight w:val="none"/>
        </w:rPr>
      </w:pP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我单位自愿参</w:t>
      </w:r>
      <w:r>
        <w:rPr>
          <w:rFonts w:hint="eastAsia" w:ascii="宋体" w:hAnsi="宋体"/>
          <w:color w:val="auto"/>
          <w:szCs w:val="21"/>
          <w:highlight w:val="none"/>
          <w:u w:val="single"/>
        </w:rPr>
        <w:t>　（项目名称/项目编号）</w:t>
      </w:r>
      <w:r>
        <w:rPr>
          <w:rFonts w:hint="eastAsia" w:ascii="宋体" w:hAnsi="宋体"/>
          <w:color w:val="auto"/>
          <w:szCs w:val="21"/>
          <w:highlight w:val="none"/>
        </w:rPr>
        <w:t>项目采购活动，严格遵守《中华人民共和国政府采购法》及相关法律法规，依法诚信经营，无条件遵守本次采购活动的各项规定。我单位郑重承诺，本单位符合《中华人民共和国政府采购法》第二十二条规定的条件:</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1.我单位具有符合采购文件资格要求独立承担民事责任的能力。</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2.我单位具有符合采购文件资格要求的财务状况报告。</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3.我单位具有符合采购文件资格要求的依法缴纳税收和社会保障记录的良好记录。</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4.我单位具有符合采购文件资格要求履行合同所必需的设备和专业技术能力。</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5.参加政府采购活动前三年内，在经营活动中没有重大违法记录。</w:t>
      </w:r>
    </w:p>
    <w:p>
      <w:pPr>
        <w:spacing w:line="440" w:lineRule="exact"/>
        <w:ind w:firstLine="420" w:firstLineChars="200"/>
        <w:jc w:val="left"/>
        <w:rPr>
          <w:rFonts w:hAnsi="Courier New"/>
          <w:color w:val="auto"/>
          <w:sz w:val="20"/>
          <w:szCs w:val="20"/>
          <w:highlight w:val="none"/>
        </w:rPr>
      </w:pPr>
      <w:r>
        <w:rPr>
          <w:rFonts w:hint="eastAsia" w:ascii="宋体" w:hAnsi="宋体"/>
          <w:color w:val="auto"/>
          <w:szCs w:val="21"/>
          <w:highlight w:val="none"/>
        </w:rPr>
        <w:t>若我单位承诺不实，自愿承担提供虚假材料谋取中标、成交的法律责任。</w:t>
      </w:r>
    </w:p>
    <w:p>
      <w:pPr>
        <w:spacing w:line="440" w:lineRule="exact"/>
        <w:rPr>
          <w:rFonts w:ascii="仿宋_GB2312" w:hAnsi="宋体"/>
          <w:color w:val="auto"/>
          <w:sz w:val="24"/>
          <w:szCs w:val="22"/>
          <w:highlight w:val="none"/>
        </w:rPr>
      </w:pPr>
    </w:p>
    <w:p>
      <w:pPr>
        <w:rPr>
          <w:color w:val="auto"/>
          <w:szCs w:val="22"/>
          <w:highlight w:val="none"/>
        </w:rPr>
      </w:pPr>
    </w:p>
    <w:p>
      <w:pPr>
        <w:spacing w:line="440" w:lineRule="exact"/>
        <w:rPr>
          <w:rFonts w:ascii="仿宋_GB2312" w:hAnsi="宋体"/>
          <w:color w:val="auto"/>
          <w:sz w:val="24"/>
          <w:szCs w:val="22"/>
          <w:highlight w:val="none"/>
        </w:rPr>
      </w:pPr>
    </w:p>
    <w:p>
      <w:pPr>
        <w:spacing w:line="440" w:lineRule="exact"/>
        <w:ind w:firstLine="420" w:firstLineChars="200"/>
        <w:jc w:val="left"/>
        <w:rPr>
          <w:rFonts w:hAnsi="Courier New"/>
          <w:color w:val="auto"/>
          <w:szCs w:val="22"/>
          <w:highlight w:val="none"/>
        </w:rPr>
      </w:pPr>
    </w:p>
    <w:p>
      <w:pPr>
        <w:spacing w:line="440" w:lineRule="exact"/>
        <w:ind w:firstLine="420" w:firstLineChars="200"/>
        <w:jc w:val="left"/>
        <w:rPr>
          <w:rFonts w:hAnsi="宋体"/>
          <w:color w:val="auto"/>
          <w:szCs w:val="22"/>
          <w:highlight w:val="none"/>
        </w:rPr>
      </w:pPr>
    </w:p>
    <w:p>
      <w:pPr>
        <w:tabs>
          <w:tab w:val="left" w:pos="7200"/>
        </w:tabs>
        <w:spacing w:line="360" w:lineRule="auto"/>
        <w:ind w:firstLine="839" w:firstLineChars="398"/>
        <w:rPr>
          <w:rFonts w:hAnsi="宋体"/>
          <w:color w:val="auto"/>
          <w:szCs w:val="22"/>
          <w:highlight w:val="none"/>
        </w:rPr>
      </w:pPr>
      <w:r>
        <w:rPr>
          <w:rFonts w:hAnsi="宋体"/>
          <w:b/>
          <w:color w:val="auto"/>
          <w:szCs w:val="22"/>
          <w:highlight w:val="none"/>
        </w:rPr>
        <w:t xml:space="preserve">          </w:t>
      </w:r>
      <w:r>
        <w:rPr>
          <w:rFonts w:hAnsi="宋体"/>
          <w:color w:val="auto"/>
          <w:szCs w:val="22"/>
          <w:highlight w:val="none"/>
        </w:rPr>
        <w:t xml:space="preserve">                        </w:t>
      </w:r>
      <w:r>
        <w:rPr>
          <w:rFonts w:hint="eastAsia" w:hAnsi="宋体"/>
          <w:color w:val="auto"/>
          <w:szCs w:val="22"/>
          <w:highlight w:val="none"/>
        </w:rPr>
        <w:t>竞标人（盖单位公章）：</w:t>
      </w:r>
      <w:r>
        <w:rPr>
          <w:rFonts w:hint="eastAsia" w:hAnsi="宋体"/>
          <w:color w:val="auto"/>
          <w:szCs w:val="22"/>
          <w:highlight w:val="none"/>
          <w:u w:val="single"/>
        </w:rPr>
        <w:t xml:space="preserve">                     </w:t>
      </w:r>
      <w:r>
        <w:rPr>
          <w:rFonts w:hint="eastAsia" w:hAnsi="宋体"/>
          <w:color w:val="auto"/>
          <w:szCs w:val="22"/>
          <w:highlight w:val="none"/>
        </w:rPr>
        <w:t xml:space="preserve">    </w:t>
      </w:r>
    </w:p>
    <w:p>
      <w:pPr>
        <w:tabs>
          <w:tab w:val="left" w:pos="7200"/>
        </w:tabs>
        <w:spacing w:line="360" w:lineRule="auto"/>
        <w:ind w:firstLine="835" w:firstLineChars="398"/>
        <w:rPr>
          <w:rFonts w:hAnsi="宋体"/>
          <w:color w:val="auto"/>
          <w:szCs w:val="22"/>
          <w:highlight w:val="none"/>
        </w:rPr>
      </w:pPr>
    </w:p>
    <w:p>
      <w:pPr>
        <w:tabs>
          <w:tab w:val="left" w:pos="7200"/>
        </w:tabs>
        <w:spacing w:line="360" w:lineRule="auto"/>
        <w:ind w:firstLine="1470" w:firstLineChars="700"/>
        <w:rPr>
          <w:rFonts w:hAnsi="宋体"/>
          <w:color w:val="auto"/>
          <w:szCs w:val="22"/>
          <w:highlight w:val="none"/>
        </w:rPr>
      </w:pPr>
      <w:r>
        <w:rPr>
          <w:rFonts w:hint="eastAsia" w:hAnsi="宋体"/>
          <w:color w:val="auto"/>
          <w:szCs w:val="22"/>
          <w:highlight w:val="none"/>
        </w:rPr>
        <w:t>法定代表人</w:t>
      </w:r>
      <w:r>
        <w:rPr>
          <w:rFonts w:hint="eastAsia"/>
          <w:color w:val="auto"/>
          <w:szCs w:val="22"/>
          <w:highlight w:val="none"/>
        </w:rPr>
        <w:t>（负责人）</w:t>
      </w:r>
      <w:r>
        <w:rPr>
          <w:rFonts w:hint="eastAsia" w:hAnsi="宋体"/>
          <w:color w:val="auto"/>
          <w:szCs w:val="22"/>
          <w:highlight w:val="none"/>
        </w:rPr>
        <w:t xml:space="preserve">或其委托代理人（签字或盖章）： </w:t>
      </w:r>
      <w:r>
        <w:rPr>
          <w:rFonts w:hint="eastAsia" w:hAnsi="宋体"/>
          <w:color w:val="auto"/>
          <w:szCs w:val="22"/>
          <w:highlight w:val="none"/>
          <w:u w:val="single"/>
        </w:rPr>
        <w:t xml:space="preserve">                        </w:t>
      </w:r>
    </w:p>
    <w:p>
      <w:pPr>
        <w:spacing w:line="360" w:lineRule="auto"/>
        <w:ind w:firstLine="420"/>
        <w:jc w:val="left"/>
        <w:rPr>
          <w:rFonts w:ascii="宋体" w:hAnsi="宋体" w:cs="宋体"/>
          <w:b/>
          <w:color w:val="auto"/>
          <w:szCs w:val="21"/>
          <w:highlight w:val="none"/>
        </w:rPr>
      </w:pPr>
      <w:r>
        <w:rPr>
          <w:rFonts w:ascii="宋体" w:hAnsi="宋体"/>
          <w:color w:val="auto"/>
          <w:kern w:val="0"/>
          <w:sz w:val="20"/>
          <w:szCs w:val="20"/>
          <w:highlight w:val="none"/>
        </w:rPr>
        <w:t xml:space="preserve">                                               </w:t>
      </w:r>
      <w:r>
        <w:rPr>
          <w:rFonts w:hint="eastAsia" w:ascii="宋体" w:hAnsi="宋体"/>
          <w:color w:val="auto"/>
          <w:kern w:val="0"/>
          <w:sz w:val="20"/>
          <w:szCs w:val="20"/>
          <w:highlight w:val="none"/>
        </w:rPr>
        <w:t>年</w:t>
      </w:r>
      <w:r>
        <w:rPr>
          <w:rFonts w:ascii="宋体" w:hAnsi="宋体"/>
          <w:color w:val="auto"/>
          <w:kern w:val="0"/>
          <w:sz w:val="20"/>
          <w:szCs w:val="20"/>
          <w:highlight w:val="none"/>
        </w:rPr>
        <w:t xml:space="preserve">    </w:t>
      </w:r>
      <w:r>
        <w:rPr>
          <w:rFonts w:hint="eastAsia" w:ascii="宋体" w:hAnsi="宋体"/>
          <w:color w:val="auto"/>
          <w:kern w:val="0"/>
          <w:sz w:val="20"/>
          <w:szCs w:val="20"/>
          <w:highlight w:val="none"/>
        </w:rPr>
        <w:t>月</w:t>
      </w:r>
      <w:r>
        <w:rPr>
          <w:rFonts w:ascii="宋体" w:hAnsi="宋体"/>
          <w:color w:val="auto"/>
          <w:kern w:val="0"/>
          <w:sz w:val="20"/>
          <w:szCs w:val="20"/>
          <w:highlight w:val="none"/>
        </w:rPr>
        <w:t xml:space="preserve">    </w:t>
      </w:r>
      <w:r>
        <w:rPr>
          <w:rFonts w:hint="eastAsia" w:ascii="宋体" w:hAnsi="宋体"/>
          <w:color w:val="auto"/>
          <w:kern w:val="0"/>
          <w:sz w:val="20"/>
          <w:szCs w:val="20"/>
          <w:highlight w:val="none"/>
        </w:rPr>
        <w:t>日</w:t>
      </w:r>
      <w:r>
        <w:rPr>
          <w:rFonts w:hint="eastAsia" w:ascii="宋体" w:hAnsi="宋体" w:cs="宋体"/>
          <w:color w:val="auto"/>
          <w:kern w:val="0"/>
          <w:highlight w:val="none"/>
        </w:rPr>
        <w:br w:type="page"/>
      </w:r>
      <w:r>
        <w:rPr>
          <w:rFonts w:hint="eastAsia" w:ascii="宋体" w:hAnsi="宋体" w:cs="宋体"/>
          <w:b/>
          <w:color w:val="auto"/>
          <w:szCs w:val="21"/>
          <w:highlight w:val="none"/>
        </w:rPr>
        <w:t>附件六</w:t>
      </w:r>
    </w:p>
    <w:p>
      <w:pPr>
        <w:snapToGrid w:val="0"/>
        <w:spacing w:line="380" w:lineRule="exact"/>
        <w:ind w:firstLine="411" w:firstLineChars="196"/>
        <w:jc w:val="left"/>
        <w:rPr>
          <w:rFonts w:ascii="宋体" w:hAnsi="宋体" w:cs="宋体"/>
          <w:color w:val="auto"/>
          <w:szCs w:val="21"/>
          <w:highlight w:val="none"/>
        </w:rPr>
      </w:pPr>
    </w:p>
    <w:p>
      <w:pPr>
        <w:pStyle w:val="34"/>
        <w:widowControl w:val="0"/>
        <w:autoSpaceDE w:val="0"/>
        <w:autoSpaceDN w:val="0"/>
        <w:spacing w:before="38" w:beforeAutospacing="0" w:after="0" w:afterAutospacing="0"/>
        <w:ind w:left="1482" w:right="1677"/>
        <w:jc w:val="center"/>
        <w:outlineLvl w:val="1"/>
        <w:rPr>
          <w:rFonts w:cs="宋体"/>
          <w:color w:val="auto"/>
          <w:sz w:val="32"/>
          <w:szCs w:val="32"/>
          <w:highlight w:val="none"/>
        </w:rPr>
      </w:pPr>
      <w:r>
        <w:rPr>
          <w:rFonts w:hint="eastAsia" w:cs="宋体"/>
          <w:b/>
          <w:color w:val="auto"/>
          <w:sz w:val="32"/>
          <w:szCs w:val="32"/>
          <w:highlight w:val="none"/>
          <w:lang w:bidi="ar"/>
        </w:rPr>
        <w:t>中小企业声明函（服务）</w:t>
      </w:r>
    </w:p>
    <w:p>
      <w:pPr>
        <w:pStyle w:val="34"/>
        <w:widowControl w:val="0"/>
        <w:autoSpaceDE w:val="0"/>
        <w:autoSpaceDN w:val="0"/>
        <w:spacing w:before="5" w:beforeAutospacing="0" w:after="0" w:afterAutospacing="0"/>
        <w:rPr>
          <w:rFonts w:cs="宋体"/>
          <w:b/>
          <w:color w:val="auto"/>
          <w:sz w:val="48"/>
          <w:szCs w:val="32"/>
          <w:highlight w:val="none"/>
        </w:rPr>
      </w:pPr>
    </w:p>
    <w:p>
      <w:pPr>
        <w:pStyle w:val="34"/>
        <w:widowControl w:val="0"/>
        <w:autoSpaceDE w:val="0"/>
        <w:autoSpaceDN w:val="0"/>
        <w:spacing w:before="0" w:beforeAutospacing="0" w:after="0" w:afterAutospacing="0" w:line="360" w:lineRule="auto"/>
        <w:ind w:left="218" w:leftChars="104" w:right="415" w:firstLine="420" w:firstLineChars="200"/>
        <w:jc w:val="both"/>
        <w:rPr>
          <w:rFonts w:cs="宋体"/>
          <w:color w:val="auto"/>
          <w:sz w:val="21"/>
          <w:szCs w:val="21"/>
          <w:highlight w:val="none"/>
        </w:rPr>
      </w:pPr>
      <w:r>
        <w:rPr>
          <w:rFonts w:hint="eastAsia" w:cs="宋体"/>
          <w:color w:val="auto"/>
          <w:sz w:val="21"/>
          <w:szCs w:val="21"/>
          <w:highlight w:val="none"/>
          <w:lang w:bidi="ar"/>
        </w:rPr>
        <w:t>本公司（联合体）郑重声明，根据《政府采购促进中小企业发展管理办法》（财库﹝2020﹞46号）的规定，本公司（联合体）参加</w:t>
      </w:r>
      <w:r>
        <w:rPr>
          <w:rFonts w:hint="eastAsia" w:cs="宋体"/>
          <w:iCs/>
          <w:color w:val="auto"/>
          <w:sz w:val="21"/>
          <w:szCs w:val="21"/>
          <w:highlight w:val="none"/>
          <w:u w:val="single"/>
          <w:lang w:bidi="ar"/>
        </w:rPr>
        <w:t>（单位名称）</w:t>
      </w:r>
      <w:r>
        <w:rPr>
          <w:rFonts w:hint="eastAsia" w:cs="宋体"/>
          <w:iCs/>
          <w:color w:val="auto"/>
          <w:sz w:val="21"/>
          <w:szCs w:val="21"/>
          <w:highlight w:val="none"/>
          <w:lang w:bidi="ar"/>
        </w:rPr>
        <w:t>的</w:t>
      </w:r>
      <w:r>
        <w:rPr>
          <w:rFonts w:hint="eastAsia" w:cs="宋体"/>
          <w:iCs/>
          <w:color w:val="auto"/>
          <w:sz w:val="21"/>
          <w:szCs w:val="21"/>
          <w:highlight w:val="none"/>
          <w:u w:val="single"/>
          <w:lang w:bidi="ar"/>
        </w:rPr>
        <w:t>（项目名称）</w:t>
      </w:r>
      <w:r>
        <w:rPr>
          <w:rFonts w:hint="eastAsia" w:cs="宋体"/>
          <w:color w:val="auto"/>
          <w:sz w:val="21"/>
          <w:szCs w:val="21"/>
          <w:highlight w:val="none"/>
          <w:lang w:bidi="ar"/>
        </w:rPr>
        <w:t>采购活动，服务全部由符合政策要求的中小企业承接。相关企业（含联合体中的中小企业、签订分包意向协议的中小企业）的具体情况如下：</w:t>
      </w:r>
    </w:p>
    <w:p>
      <w:pPr>
        <w:pStyle w:val="34"/>
        <w:widowControl w:val="0"/>
        <w:autoSpaceDE w:val="0"/>
        <w:autoSpaceDN w:val="0"/>
        <w:spacing w:before="0" w:beforeAutospacing="0" w:after="0" w:afterAutospacing="0" w:line="360" w:lineRule="auto"/>
        <w:ind w:left="218" w:leftChars="104" w:right="415" w:firstLine="420" w:firstLineChars="200"/>
        <w:jc w:val="both"/>
        <w:rPr>
          <w:rFonts w:cs="宋体"/>
          <w:iCs/>
          <w:color w:val="auto"/>
          <w:sz w:val="21"/>
          <w:szCs w:val="21"/>
          <w:highlight w:val="none"/>
        </w:rPr>
      </w:pPr>
      <w:r>
        <w:rPr>
          <w:rFonts w:hint="eastAsia" w:cs="宋体"/>
          <w:color w:val="auto"/>
          <w:sz w:val="21"/>
          <w:szCs w:val="21"/>
          <w:highlight w:val="none"/>
          <w:lang w:bidi="ar"/>
        </w:rPr>
        <w:t>1.</w:t>
      </w:r>
      <w:r>
        <w:rPr>
          <w:rFonts w:hint="eastAsia" w:cs="宋体"/>
          <w:i/>
          <w:color w:val="auto"/>
          <w:sz w:val="21"/>
          <w:szCs w:val="21"/>
          <w:highlight w:val="none"/>
          <w:lang w:bidi="ar"/>
        </w:rPr>
        <w:t xml:space="preserve"> </w:t>
      </w:r>
      <w:r>
        <w:rPr>
          <w:rFonts w:hint="eastAsia" w:cs="宋体"/>
          <w:iCs/>
          <w:color w:val="auto"/>
          <w:sz w:val="21"/>
          <w:szCs w:val="21"/>
          <w:highlight w:val="none"/>
          <w:u w:val="single"/>
          <w:lang w:bidi="ar"/>
        </w:rPr>
        <w:t>（标的名称）</w:t>
      </w:r>
      <w:r>
        <w:rPr>
          <w:rFonts w:hint="eastAsia" w:cs="宋体"/>
          <w:iCs/>
          <w:color w:val="auto"/>
          <w:sz w:val="21"/>
          <w:szCs w:val="21"/>
          <w:highlight w:val="none"/>
          <w:lang w:bidi="ar"/>
        </w:rPr>
        <w:t>，属于（</w:t>
      </w:r>
      <w:r>
        <w:rPr>
          <w:rFonts w:hint="eastAsia" w:cs="宋体"/>
          <w:iCs/>
          <w:color w:val="auto"/>
          <w:sz w:val="21"/>
          <w:szCs w:val="21"/>
          <w:highlight w:val="none"/>
          <w:u w:val="single"/>
          <w:lang w:bidi="ar"/>
        </w:rPr>
        <w:t>采购文件中明确的所属行业）</w:t>
      </w:r>
      <w:r>
        <w:rPr>
          <w:rFonts w:hint="eastAsia" w:cs="宋体"/>
          <w:iCs/>
          <w:color w:val="auto"/>
          <w:sz w:val="21"/>
          <w:szCs w:val="21"/>
          <w:highlight w:val="none"/>
          <w:lang w:bidi="ar"/>
        </w:rPr>
        <w:t>；承接企业为</w:t>
      </w:r>
      <w:r>
        <w:rPr>
          <w:rFonts w:hint="eastAsia" w:cs="宋体"/>
          <w:iCs/>
          <w:color w:val="auto"/>
          <w:sz w:val="21"/>
          <w:szCs w:val="21"/>
          <w:highlight w:val="none"/>
          <w:u w:val="single"/>
          <w:lang w:bidi="ar"/>
        </w:rPr>
        <w:t>（企业名称）</w:t>
      </w:r>
      <w:r>
        <w:rPr>
          <w:rFonts w:hint="eastAsia" w:cs="宋体"/>
          <w:iCs/>
          <w:color w:val="auto"/>
          <w:sz w:val="21"/>
          <w:szCs w:val="21"/>
          <w:highlight w:val="none"/>
          <w:lang w:bidi="ar"/>
        </w:rPr>
        <w:t>，从业人员</w:t>
      </w:r>
      <w:r>
        <w:rPr>
          <w:rFonts w:hint="eastAsia" w:cs="宋体"/>
          <w:iCs/>
          <w:color w:val="auto"/>
          <w:sz w:val="21"/>
          <w:szCs w:val="21"/>
          <w:highlight w:val="none"/>
          <w:u w:val="single"/>
          <w:lang w:bidi="ar"/>
        </w:rPr>
        <w:t xml:space="preserve">   </w:t>
      </w:r>
      <w:r>
        <w:rPr>
          <w:rFonts w:hint="eastAsia" w:cs="宋体"/>
          <w:iCs/>
          <w:color w:val="auto"/>
          <w:sz w:val="21"/>
          <w:szCs w:val="21"/>
          <w:highlight w:val="none"/>
          <w:lang w:bidi="ar"/>
        </w:rPr>
        <w:t>人，营业收入为</w:t>
      </w:r>
      <w:r>
        <w:rPr>
          <w:rFonts w:hint="eastAsia" w:cs="宋体"/>
          <w:iCs/>
          <w:color w:val="auto"/>
          <w:sz w:val="21"/>
          <w:szCs w:val="21"/>
          <w:highlight w:val="none"/>
          <w:u w:val="single"/>
          <w:lang w:bidi="ar"/>
        </w:rPr>
        <w:t xml:space="preserve">   </w:t>
      </w:r>
      <w:r>
        <w:rPr>
          <w:rFonts w:hint="eastAsia" w:cs="宋体"/>
          <w:iCs/>
          <w:color w:val="auto"/>
          <w:sz w:val="21"/>
          <w:szCs w:val="21"/>
          <w:highlight w:val="none"/>
          <w:lang w:bidi="ar"/>
        </w:rPr>
        <w:t>万元，资产总额为</w:t>
      </w:r>
      <w:r>
        <w:rPr>
          <w:rFonts w:hint="eastAsia" w:cs="宋体"/>
          <w:iCs/>
          <w:color w:val="auto"/>
          <w:sz w:val="21"/>
          <w:szCs w:val="21"/>
          <w:highlight w:val="none"/>
          <w:u w:val="single"/>
          <w:lang w:bidi="ar"/>
        </w:rPr>
        <w:t xml:space="preserve">   </w:t>
      </w:r>
      <w:r>
        <w:rPr>
          <w:rFonts w:hint="eastAsia" w:cs="宋体"/>
          <w:iCs/>
          <w:color w:val="auto"/>
          <w:sz w:val="21"/>
          <w:szCs w:val="21"/>
          <w:highlight w:val="none"/>
          <w:lang w:bidi="ar"/>
        </w:rPr>
        <w:t>万元，属于</w:t>
      </w:r>
      <w:r>
        <w:rPr>
          <w:rFonts w:hint="eastAsia" w:cs="宋体"/>
          <w:iCs/>
          <w:color w:val="auto"/>
          <w:sz w:val="21"/>
          <w:szCs w:val="21"/>
          <w:highlight w:val="none"/>
          <w:u w:val="single"/>
          <w:lang w:bidi="ar"/>
        </w:rPr>
        <w:t>（中型企业、小型企业、微型企业）</w:t>
      </w:r>
      <w:r>
        <w:rPr>
          <w:rFonts w:hint="eastAsia" w:cs="宋体"/>
          <w:iCs/>
          <w:color w:val="auto"/>
          <w:sz w:val="21"/>
          <w:szCs w:val="21"/>
          <w:highlight w:val="none"/>
          <w:lang w:bidi="ar"/>
        </w:rPr>
        <w:t>；</w:t>
      </w:r>
    </w:p>
    <w:p>
      <w:pPr>
        <w:pStyle w:val="34"/>
        <w:widowControl w:val="0"/>
        <w:autoSpaceDE w:val="0"/>
        <w:autoSpaceDN w:val="0"/>
        <w:spacing w:before="0" w:beforeAutospacing="0" w:after="0" w:afterAutospacing="0" w:line="360" w:lineRule="auto"/>
        <w:ind w:left="218" w:leftChars="104" w:right="415" w:firstLine="420" w:firstLineChars="200"/>
        <w:jc w:val="both"/>
        <w:rPr>
          <w:rFonts w:cs="宋体"/>
          <w:iCs/>
          <w:color w:val="auto"/>
          <w:sz w:val="21"/>
          <w:szCs w:val="21"/>
          <w:highlight w:val="none"/>
        </w:rPr>
      </w:pPr>
      <w:r>
        <w:rPr>
          <w:rFonts w:hint="eastAsia" w:cs="宋体"/>
          <w:iCs/>
          <w:color w:val="auto"/>
          <w:sz w:val="21"/>
          <w:szCs w:val="21"/>
          <w:highlight w:val="none"/>
          <w:lang w:bidi="ar"/>
        </w:rPr>
        <w:t>2.</w:t>
      </w:r>
      <w:r>
        <w:rPr>
          <w:rFonts w:hint="eastAsia" w:cs="宋体"/>
          <w:iCs/>
          <w:color w:val="auto"/>
          <w:sz w:val="21"/>
          <w:szCs w:val="21"/>
          <w:highlight w:val="none"/>
          <w:u w:val="single"/>
          <w:lang w:bidi="ar"/>
        </w:rPr>
        <w:t>（标的名称）</w:t>
      </w:r>
      <w:r>
        <w:rPr>
          <w:rFonts w:hint="eastAsia" w:cs="宋体"/>
          <w:iCs/>
          <w:color w:val="auto"/>
          <w:sz w:val="21"/>
          <w:szCs w:val="21"/>
          <w:highlight w:val="none"/>
          <w:lang w:bidi="ar"/>
        </w:rPr>
        <w:t>，属于（</w:t>
      </w:r>
      <w:r>
        <w:rPr>
          <w:rFonts w:hint="eastAsia" w:cs="宋体"/>
          <w:iCs/>
          <w:color w:val="auto"/>
          <w:sz w:val="21"/>
          <w:szCs w:val="21"/>
          <w:highlight w:val="none"/>
          <w:u w:val="single"/>
          <w:lang w:bidi="ar"/>
        </w:rPr>
        <w:t>采购文件中明确的所属行业）</w:t>
      </w:r>
      <w:r>
        <w:rPr>
          <w:rFonts w:hint="eastAsia" w:cs="宋体"/>
          <w:iCs/>
          <w:color w:val="auto"/>
          <w:sz w:val="21"/>
          <w:szCs w:val="21"/>
          <w:highlight w:val="none"/>
          <w:lang w:bidi="ar"/>
        </w:rPr>
        <w:t>；承接企业为</w:t>
      </w:r>
      <w:r>
        <w:rPr>
          <w:rFonts w:hint="eastAsia" w:cs="宋体"/>
          <w:iCs/>
          <w:color w:val="auto"/>
          <w:sz w:val="21"/>
          <w:szCs w:val="21"/>
          <w:highlight w:val="none"/>
          <w:u w:val="single"/>
          <w:lang w:bidi="ar"/>
        </w:rPr>
        <w:t>（企业名称）</w:t>
      </w:r>
      <w:r>
        <w:rPr>
          <w:rFonts w:hint="eastAsia" w:cs="宋体"/>
          <w:iCs/>
          <w:color w:val="auto"/>
          <w:sz w:val="21"/>
          <w:szCs w:val="21"/>
          <w:highlight w:val="none"/>
          <w:lang w:bidi="ar"/>
        </w:rPr>
        <w:t>，从业人员</w:t>
      </w:r>
      <w:r>
        <w:rPr>
          <w:rFonts w:hint="eastAsia" w:cs="宋体"/>
          <w:iCs/>
          <w:color w:val="auto"/>
          <w:sz w:val="21"/>
          <w:szCs w:val="21"/>
          <w:highlight w:val="none"/>
          <w:u w:val="single"/>
          <w:lang w:bidi="ar"/>
        </w:rPr>
        <w:t xml:space="preserve">   </w:t>
      </w:r>
      <w:r>
        <w:rPr>
          <w:rFonts w:hint="eastAsia" w:cs="宋体"/>
          <w:iCs/>
          <w:color w:val="auto"/>
          <w:sz w:val="21"/>
          <w:szCs w:val="21"/>
          <w:highlight w:val="none"/>
          <w:lang w:bidi="ar"/>
        </w:rPr>
        <w:t>人，营业收入为</w:t>
      </w:r>
      <w:r>
        <w:rPr>
          <w:rFonts w:hint="eastAsia" w:cs="宋体"/>
          <w:iCs/>
          <w:color w:val="auto"/>
          <w:sz w:val="21"/>
          <w:szCs w:val="21"/>
          <w:highlight w:val="none"/>
          <w:u w:val="single"/>
          <w:lang w:bidi="ar"/>
        </w:rPr>
        <w:t xml:space="preserve">   </w:t>
      </w:r>
      <w:r>
        <w:rPr>
          <w:rFonts w:hint="eastAsia" w:cs="宋体"/>
          <w:iCs/>
          <w:color w:val="auto"/>
          <w:sz w:val="21"/>
          <w:szCs w:val="21"/>
          <w:highlight w:val="none"/>
          <w:lang w:bidi="ar"/>
        </w:rPr>
        <w:t>万元，资产总额为</w:t>
      </w:r>
      <w:r>
        <w:rPr>
          <w:rFonts w:hint="eastAsia" w:cs="宋体"/>
          <w:iCs/>
          <w:color w:val="auto"/>
          <w:sz w:val="21"/>
          <w:szCs w:val="21"/>
          <w:highlight w:val="none"/>
          <w:u w:val="single"/>
          <w:lang w:bidi="ar"/>
        </w:rPr>
        <w:t xml:space="preserve">   </w:t>
      </w:r>
      <w:r>
        <w:rPr>
          <w:rFonts w:hint="eastAsia" w:cs="宋体"/>
          <w:iCs/>
          <w:color w:val="auto"/>
          <w:sz w:val="21"/>
          <w:szCs w:val="21"/>
          <w:highlight w:val="none"/>
          <w:lang w:bidi="ar"/>
        </w:rPr>
        <w:t>万元，属于</w:t>
      </w:r>
      <w:r>
        <w:rPr>
          <w:rFonts w:hint="eastAsia" w:cs="宋体"/>
          <w:iCs/>
          <w:color w:val="auto"/>
          <w:sz w:val="21"/>
          <w:szCs w:val="21"/>
          <w:highlight w:val="none"/>
          <w:u w:val="single"/>
          <w:lang w:bidi="ar"/>
        </w:rPr>
        <w:t>（中型企业、小型企业、微型企业）</w:t>
      </w:r>
      <w:r>
        <w:rPr>
          <w:rFonts w:hint="eastAsia" w:cs="宋体"/>
          <w:iCs/>
          <w:color w:val="auto"/>
          <w:sz w:val="21"/>
          <w:szCs w:val="21"/>
          <w:highlight w:val="none"/>
          <w:lang w:bidi="ar"/>
        </w:rPr>
        <w:t>；</w:t>
      </w:r>
    </w:p>
    <w:p>
      <w:pPr>
        <w:pStyle w:val="34"/>
        <w:widowControl w:val="0"/>
        <w:autoSpaceDE w:val="0"/>
        <w:autoSpaceDN w:val="0"/>
        <w:spacing w:before="11" w:beforeAutospacing="0" w:after="0" w:afterAutospacing="0" w:line="360" w:lineRule="auto"/>
        <w:ind w:left="218" w:leftChars="104" w:firstLine="420" w:firstLineChars="200"/>
        <w:rPr>
          <w:rFonts w:cs="宋体"/>
          <w:color w:val="auto"/>
          <w:sz w:val="21"/>
          <w:szCs w:val="21"/>
          <w:highlight w:val="none"/>
        </w:rPr>
      </w:pPr>
      <w:r>
        <w:rPr>
          <w:rFonts w:hint="eastAsia" w:cs="宋体"/>
          <w:color w:val="auto"/>
          <w:sz w:val="21"/>
          <w:szCs w:val="21"/>
          <w:highlight w:val="none"/>
          <w:lang w:bidi="ar"/>
        </w:rPr>
        <w:t>……</w:t>
      </w:r>
    </w:p>
    <w:p>
      <w:pPr>
        <w:pStyle w:val="34"/>
        <w:widowControl w:val="0"/>
        <w:autoSpaceDE w:val="0"/>
        <w:autoSpaceDN w:val="0"/>
        <w:spacing w:before="108" w:beforeAutospacing="0" w:after="0" w:afterAutospacing="0" w:line="360" w:lineRule="auto"/>
        <w:ind w:left="218" w:leftChars="104" w:right="417" w:firstLine="420" w:firstLineChars="200"/>
        <w:jc w:val="both"/>
        <w:rPr>
          <w:rFonts w:cs="宋体"/>
          <w:color w:val="auto"/>
          <w:sz w:val="21"/>
          <w:szCs w:val="21"/>
          <w:highlight w:val="none"/>
        </w:rPr>
      </w:pPr>
      <w:r>
        <w:rPr>
          <w:rFonts w:hint="eastAsia" w:cs="宋体"/>
          <w:color w:val="auto"/>
          <w:sz w:val="21"/>
          <w:szCs w:val="21"/>
          <w:highlight w:val="none"/>
          <w:lang w:bidi="ar"/>
        </w:rPr>
        <w:t>以上企业，不属于大企业的分支机构，不存在控股股东为大企业的情形，也不存在与大企业的负责人为同一人的情形。</w:t>
      </w:r>
    </w:p>
    <w:p>
      <w:pPr>
        <w:widowControl/>
        <w:spacing w:line="360" w:lineRule="auto"/>
        <w:ind w:left="218" w:leftChars="104" w:firstLine="420" w:firstLineChars="200"/>
        <w:jc w:val="left"/>
        <w:rPr>
          <w:rFonts w:ascii="宋体" w:hAnsi="宋体" w:cs="宋体"/>
          <w:color w:val="auto"/>
          <w:kern w:val="0"/>
          <w:szCs w:val="21"/>
          <w:highlight w:val="none"/>
          <w:lang w:val="zh-CN" w:bidi="zh-CN"/>
        </w:rPr>
      </w:pPr>
      <w:r>
        <w:rPr>
          <w:rFonts w:hint="eastAsia" w:ascii="宋体" w:hAnsi="宋体" w:cs="宋体"/>
          <w:color w:val="auto"/>
          <w:kern w:val="0"/>
          <w:szCs w:val="21"/>
          <w:highlight w:val="none"/>
          <w:lang w:val="zh-CN" w:bidi="zh-CN"/>
        </w:rPr>
        <w:t>本企业对上述声明内容的真实性负责。如有虚假，将依法承担相应责任。</w:t>
      </w:r>
    </w:p>
    <w:p>
      <w:pPr>
        <w:widowControl/>
        <w:spacing w:line="360" w:lineRule="auto"/>
        <w:ind w:left="218" w:leftChars="104" w:firstLine="420" w:firstLineChars="200"/>
        <w:jc w:val="left"/>
        <w:rPr>
          <w:rFonts w:ascii="宋体" w:hAnsi="宋体" w:cs="宋体"/>
          <w:color w:val="auto"/>
          <w:kern w:val="0"/>
          <w:szCs w:val="21"/>
          <w:highlight w:val="none"/>
          <w:lang w:bidi="zh-CN"/>
        </w:rPr>
      </w:pPr>
    </w:p>
    <w:p>
      <w:pPr>
        <w:pStyle w:val="34"/>
        <w:widowControl w:val="0"/>
        <w:autoSpaceDE w:val="0"/>
        <w:autoSpaceDN w:val="0"/>
        <w:spacing w:before="0" w:beforeAutospacing="0" w:after="0" w:afterAutospacing="0" w:line="360" w:lineRule="auto"/>
        <w:ind w:left="235" w:leftChars="112" w:right="372" w:firstLine="401" w:firstLineChars="191"/>
        <w:rPr>
          <w:rFonts w:cs="宋体"/>
          <w:color w:val="auto"/>
          <w:sz w:val="21"/>
          <w:szCs w:val="21"/>
          <w:highlight w:val="none"/>
          <w:lang w:bidi="ar"/>
        </w:rPr>
      </w:pPr>
    </w:p>
    <w:p>
      <w:pPr>
        <w:pStyle w:val="34"/>
        <w:widowControl w:val="0"/>
        <w:autoSpaceDE w:val="0"/>
        <w:autoSpaceDN w:val="0"/>
        <w:spacing w:before="35" w:beforeAutospacing="0" w:after="0" w:afterAutospacing="0" w:line="360" w:lineRule="auto"/>
        <w:ind w:left="4060" w:right="2166"/>
        <w:rPr>
          <w:rFonts w:cs="宋体"/>
          <w:color w:val="auto"/>
          <w:sz w:val="21"/>
          <w:szCs w:val="21"/>
          <w:highlight w:val="none"/>
          <w:lang w:bidi="ar"/>
        </w:rPr>
      </w:pPr>
      <w:r>
        <w:rPr>
          <w:rFonts w:hint="eastAsia" w:cs="宋体"/>
          <w:color w:val="auto"/>
          <w:sz w:val="21"/>
          <w:szCs w:val="21"/>
          <w:highlight w:val="none"/>
          <w:lang w:bidi="ar"/>
        </w:rPr>
        <w:t>企业名称（盖章）：</w:t>
      </w:r>
    </w:p>
    <w:p>
      <w:pPr>
        <w:pStyle w:val="34"/>
        <w:widowControl w:val="0"/>
        <w:autoSpaceDE w:val="0"/>
        <w:autoSpaceDN w:val="0"/>
        <w:spacing w:before="35" w:beforeAutospacing="0" w:after="0" w:afterAutospacing="0" w:line="360" w:lineRule="auto"/>
        <w:ind w:left="4060" w:right="2166"/>
        <w:rPr>
          <w:rFonts w:cs="宋体"/>
          <w:color w:val="auto"/>
          <w:sz w:val="21"/>
          <w:szCs w:val="21"/>
          <w:highlight w:val="none"/>
          <w:lang w:bidi="ar"/>
        </w:rPr>
      </w:pPr>
    </w:p>
    <w:p>
      <w:pPr>
        <w:pStyle w:val="34"/>
        <w:widowControl w:val="0"/>
        <w:autoSpaceDE w:val="0"/>
        <w:autoSpaceDN w:val="0"/>
        <w:spacing w:before="35" w:beforeAutospacing="0" w:after="0" w:afterAutospacing="0" w:line="360" w:lineRule="auto"/>
        <w:ind w:left="4060" w:right="2166"/>
        <w:rPr>
          <w:rFonts w:cs="宋体"/>
          <w:color w:val="auto"/>
          <w:sz w:val="22"/>
          <w:szCs w:val="22"/>
          <w:highlight w:val="none"/>
          <w:lang w:val="zh-CN" w:bidi="zh-CN"/>
        </w:rPr>
      </w:pPr>
      <w:r>
        <w:rPr>
          <w:rFonts w:hint="eastAsia" w:cs="宋体"/>
          <w:color w:val="auto"/>
          <w:sz w:val="21"/>
          <w:szCs w:val="21"/>
          <w:highlight w:val="none"/>
          <w:lang w:bidi="ar"/>
        </w:rPr>
        <w:t>日期：</w:t>
      </w:r>
    </w:p>
    <w:p>
      <w:pPr>
        <w:spacing w:line="314" w:lineRule="auto"/>
        <w:rPr>
          <w:rFonts w:ascii="宋体" w:hAnsi="宋体" w:cs="宋体"/>
          <w:color w:val="auto"/>
          <w:sz w:val="22"/>
          <w:szCs w:val="22"/>
          <w:highlight w:val="none"/>
          <w:lang w:val="zh-CN" w:bidi="zh-CN"/>
        </w:rPr>
      </w:pPr>
    </w:p>
    <w:p>
      <w:pPr>
        <w:spacing w:line="314" w:lineRule="auto"/>
        <w:rPr>
          <w:rFonts w:ascii="宋体" w:hAnsi="宋体" w:cs="宋体"/>
          <w:color w:val="auto"/>
          <w:sz w:val="22"/>
          <w:szCs w:val="22"/>
          <w:highlight w:val="none"/>
          <w:lang w:val="zh-CN" w:bidi="zh-CN"/>
        </w:rPr>
      </w:pPr>
    </w:p>
    <w:p>
      <w:pPr>
        <w:spacing w:line="314" w:lineRule="auto"/>
        <w:rPr>
          <w:rFonts w:ascii="宋体" w:hAnsi="宋体" w:cs="宋体"/>
          <w:color w:val="auto"/>
          <w:sz w:val="22"/>
          <w:szCs w:val="22"/>
          <w:highlight w:val="none"/>
          <w:lang w:val="zh-CN" w:bidi="zh-CN"/>
        </w:rPr>
      </w:pPr>
    </w:p>
    <w:p>
      <w:pPr>
        <w:spacing w:line="314" w:lineRule="auto"/>
        <w:ind w:left="638" w:hanging="638" w:hangingChars="290"/>
        <w:rPr>
          <w:rFonts w:ascii="宋体" w:hAnsi="宋体" w:cs="宋体"/>
          <w:color w:val="auto"/>
          <w:sz w:val="22"/>
          <w:szCs w:val="22"/>
          <w:highlight w:val="none"/>
          <w:lang w:bidi="zh-CN"/>
        </w:rPr>
      </w:pPr>
      <w:r>
        <w:rPr>
          <w:rFonts w:hint="eastAsia" w:ascii="宋体" w:hAnsi="宋体" w:cs="宋体"/>
          <w:color w:val="auto"/>
          <w:sz w:val="22"/>
          <w:szCs w:val="22"/>
          <w:highlight w:val="none"/>
          <w:lang w:bidi="zh-CN"/>
        </w:rPr>
        <w:t>说明：从业人员、营业收入、资产总额填报上一年度数据，无上一年度数据的新成立企业可不填报。</w:t>
      </w:r>
      <w:r>
        <w:rPr>
          <w:rFonts w:hint="eastAsia" w:ascii="宋体" w:hAnsi="宋体" w:cs="宋体"/>
          <w:color w:val="auto"/>
          <w:sz w:val="22"/>
          <w:szCs w:val="22"/>
          <w:highlight w:val="none"/>
          <w:lang w:bidi="zh-CN"/>
        </w:rPr>
        <w:br w:type="page"/>
      </w:r>
    </w:p>
    <w:p>
      <w:pPr>
        <w:widowControl/>
        <w:snapToGrid w:val="0"/>
        <w:jc w:val="left"/>
        <w:rPr>
          <w:rFonts w:ascii="宋体" w:hAnsi="宋体" w:cs="宋体"/>
          <w:color w:val="auto"/>
          <w:kern w:val="0"/>
          <w:szCs w:val="21"/>
          <w:highlight w:val="none"/>
        </w:rPr>
      </w:pPr>
      <w:r>
        <w:rPr>
          <w:rFonts w:hint="eastAsia" w:ascii="宋体" w:hAnsi="宋体" w:cs="宋体"/>
          <w:color w:val="auto"/>
          <w:kern w:val="0"/>
          <w:szCs w:val="21"/>
          <w:highlight w:val="none"/>
        </w:rPr>
        <w:t>附：中小企业划型标准</w:t>
      </w:r>
    </w:p>
    <w:p>
      <w:pPr>
        <w:widowControl/>
        <w:snapToGrid w:val="0"/>
        <w:jc w:val="left"/>
        <w:rPr>
          <w:rFonts w:ascii="宋体" w:hAnsi="宋体" w:cs="宋体"/>
          <w:color w:val="auto"/>
          <w:kern w:val="0"/>
          <w:szCs w:val="21"/>
          <w:highlight w:val="none"/>
        </w:rPr>
      </w:pPr>
    </w:p>
    <w:p>
      <w:pPr>
        <w:spacing w:line="380" w:lineRule="exact"/>
        <w:jc w:val="center"/>
        <w:rPr>
          <w:rFonts w:ascii="宋体" w:hAnsi="宋体" w:cs="宋体"/>
          <w:b/>
          <w:bCs/>
          <w:color w:val="auto"/>
          <w:spacing w:val="8"/>
          <w:kern w:val="0"/>
          <w:sz w:val="28"/>
          <w:szCs w:val="28"/>
          <w:highlight w:val="none"/>
        </w:rPr>
      </w:pPr>
      <w:r>
        <w:rPr>
          <w:rFonts w:hint="eastAsia" w:ascii="宋体" w:hAnsi="宋体" w:cs="宋体"/>
          <w:b/>
          <w:bCs/>
          <w:color w:val="auto"/>
          <w:spacing w:val="8"/>
          <w:kern w:val="0"/>
          <w:sz w:val="24"/>
          <w:highlight w:val="none"/>
        </w:rPr>
        <w:t>中小企业划型标准</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根据工信部联企业〔2011〕300号规定，中小企业各行业划型标准如下：</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（一）农、林、牧、渔业。营业收入20000万元以下的为中小微型企业。其中，营业收入500万元及以上的为中型企业，营业收入50万元及以上的为小型企业，营业收入50万元以下的为微型企业。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80" w:lineRule="exact"/>
        <w:ind w:left="214" w:leftChars="102" w:firstLine="422" w:firstLineChars="187"/>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（十六）其他未列明行业。从业人员300人以下的为中小微型企业。其中，从业人员100人及以上的为中型企业；从业人员10人及以上的为小型企业；从业人员10人以下的为微型企业。</w:t>
      </w:r>
    </w:p>
    <w:p>
      <w:pPr>
        <w:spacing w:line="380" w:lineRule="exact"/>
        <w:ind w:left="214" w:leftChars="102" w:firstLine="422" w:firstLineChars="187"/>
        <w:rPr>
          <w:rFonts w:ascii="宋体" w:hAnsi="宋体" w:cs="宋体"/>
          <w:color w:val="auto"/>
          <w:spacing w:val="8"/>
          <w:kern w:val="0"/>
          <w:szCs w:val="21"/>
          <w:highlight w:val="none"/>
        </w:rPr>
      </w:pPr>
    </w:p>
    <w:p>
      <w:pPr>
        <w:spacing w:line="380" w:lineRule="exact"/>
        <w:ind w:left="214" w:leftChars="102" w:firstLine="422" w:firstLineChars="187"/>
        <w:rPr>
          <w:rFonts w:ascii="宋体" w:hAnsi="宋体" w:cs="宋体"/>
          <w:color w:val="auto"/>
          <w:spacing w:val="8"/>
          <w:kern w:val="0"/>
          <w:szCs w:val="21"/>
          <w:highlight w:val="none"/>
        </w:rPr>
      </w:pPr>
    </w:p>
    <w:p>
      <w:pPr>
        <w:pStyle w:val="34"/>
        <w:widowControl w:val="0"/>
        <w:autoSpaceDE w:val="0"/>
        <w:autoSpaceDN w:val="0"/>
        <w:spacing w:before="38" w:beforeAutospacing="0" w:after="0" w:afterAutospacing="0"/>
        <w:ind w:left="1482" w:right="1677"/>
        <w:jc w:val="center"/>
        <w:outlineLvl w:val="1"/>
        <w:rPr>
          <w:rFonts w:cs="宋体"/>
          <w:color w:val="auto"/>
          <w:szCs w:val="21"/>
          <w:highlight w:val="none"/>
        </w:rPr>
      </w:pPr>
      <w:r>
        <w:rPr>
          <w:rFonts w:cs="宋体"/>
          <w:color w:val="auto"/>
          <w:szCs w:val="21"/>
          <w:highlight w:val="none"/>
        </w:rPr>
        <w:br w:type="page"/>
      </w:r>
      <w:bookmarkStart w:id="86" w:name="OLE_LINK14"/>
      <w:bookmarkStart w:id="87" w:name="OLE_LINK13"/>
    </w:p>
    <w:p>
      <w:pPr>
        <w:pStyle w:val="34"/>
        <w:widowControl w:val="0"/>
        <w:autoSpaceDE w:val="0"/>
        <w:autoSpaceDN w:val="0"/>
        <w:spacing w:before="38" w:beforeAutospacing="0" w:after="0" w:afterAutospacing="0"/>
        <w:ind w:left="1482" w:right="1677"/>
        <w:jc w:val="center"/>
        <w:outlineLvl w:val="1"/>
        <w:rPr>
          <w:rFonts w:cs="宋体"/>
          <w:b/>
          <w:color w:val="auto"/>
          <w:sz w:val="32"/>
          <w:szCs w:val="32"/>
          <w:highlight w:val="none"/>
          <w:lang w:bidi="ar"/>
        </w:rPr>
      </w:pPr>
      <w:r>
        <w:rPr>
          <w:rFonts w:hint="eastAsia" w:cs="宋体"/>
          <w:b/>
          <w:color w:val="auto"/>
          <w:sz w:val="32"/>
          <w:szCs w:val="32"/>
          <w:highlight w:val="none"/>
          <w:lang w:bidi="ar"/>
        </w:rPr>
        <w:t>残疾人福利性单位声明函</w:t>
      </w:r>
    </w:p>
    <w:bookmarkEnd w:id="86"/>
    <w:bookmarkEnd w:id="87"/>
    <w:p>
      <w:pPr>
        <w:spacing w:line="588" w:lineRule="exact"/>
        <w:rPr>
          <w:rFonts w:ascii="宋体" w:hAnsi="宋体"/>
          <w:b/>
          <w:color w:val="auto"/>
          <w:spacing w:val="6"/>
          <w:szCs w:val="21"/>
          <w:highlight w:val="none"/>
        </w:rPr>
      </w:pPr>
    </w:p>
    <w:p>
      <w:pPr>
        <w:spacing w:line="588"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本单位对上述声明的真实性负责。如有虚假，将依法承担相应责任。</w:t>
      </w:r>
    </w:p>
    <w:p>
      <w:pPr>
        <w:spacing w:line="588" w:lineRule="exact"/>
        <w:ind w:firstLine="420" w:firstLineChars="200"/>
        <w:rPr>
          <w:rFonts w:ascii="宋体" w:hAnsi="宋体" w:cs="宋体"/>
          <w:color w:val="auto"/>
          <w:kern w:val="0"/>
          <w:szCs w:val="21"/>
          <w:highlight w:val="none"/>
        </w:rPr>
      </w:pPr>
    </w:p>
    <w:p>
      <w:pPr>
        <w:spacing w:line="588" w:lineRule="exact"/>
        <w:ind w:firstLine="420" w:firstLineChars="200"/>
        <w:rPr>
          <w:rFonts w:ascii="宋体" w:hAnsi="宋体" w:cs="宋体"/>
          <w:color w:val="auto"/>
          <w:kern w:val="0"/>
          <w:szCs w:val="21"/>
          <w:highlight w:val="none"/>
        </w:rPr>
      </w:pPr>
    </w:p>
    <w:p>
      <w:pPr>
        <w:tabs>
          <w:tab w:val="left" w:pos="4860"/>
        </w:tabs>
        <w:spacing w:line="588" w:lineRule="exact"/>
        <w:ind w:right="1560" w:firstLine="420" w:firstLineChars="20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单位名称（盖章）：</w:t>
      </w:r>
    </w:p>
    <w:p>
      <w:pPr>
        <w:ind w:firstLine="5460" w:firstLineChars="2600"/>
        <w:rPr>
          <w:rFonts w:ascii="宋体" w:hAnsi="宋体" w:cs="宋体"/>
          <w:color w:val="auto"/>
          <w:kern w:val="0"/>
          <w:szCs w:val="21"/>
          <w:highlight w:val="none"/>
        </w:rPr>
      </w:pPr>
      <w:r>
        <w:rPr>
          <w:rFonts w:hint="eastAsia" w:ascii="宋体" w:hAnsi="宋体" w:cs="宋体"/>
          <w:color w:val="auto"/>
          <w:kern w:val="0"/>
          <w:szCs w:val="21"/>
          <w:highlight w:val="none"/>
        </w:rPr>
        <w:t>日  期：</w:t>
      </w:r>
    </w:p>
    <w:p>
      <w:pPr>
        <w:snapToGrid w:val="0"/>
        <w:spacing w:line="380" w:lineRule="exact"/>
        <w:ind w:firstLine="411" w:firstLineChars="196"/>
        <w:jc w:val="left"/>
        <w:rPr>
          <w:rFonts w:ascii="宋体" w:hAnsi="宋体" w:cs="宋体"/>
          <w:color w:val="auto"/>
          <w:szCs w:val="21"/>
          <w:highlight w:val="none"/>
        </w:rPr>
      </w:pPr>
    </w:p>
    <w:p>
      <w:pPr>
        <w:spacing w:line="500" w:lineRule="exact"/>
        <w:rPr>
          <w:rFonts w:ascii="宋体" w:hAnsi="宋体" w:cs="宋体"/>
          <w:b/>
          <w:color w:val="auto"/>
          <w:kern w:val="0"/>
          <w:sz w:val="32"/>
          <w:szCs w:val="32"/>
          <w:highlight w:val="none"/>
        </w:rPr>
      </w:pPr>
      <w:r>
        <w:rPr>
          <w:rFonts w:hint="eastAsia" w:ascii="宋体" w:hAnsi="宋体" w:cs="宋体"/>
          <w:color w:val="auto"/>
          <w:kern w:val="0"/>
          <w:highlight w:val="none"/>
        </w:rPr>
        <w:br w:type="page"/>
      </w: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ind w:left="420" w:hanging="420"/>
        <w:jc w:val="center"/>
        <w:rPr>
          <w:rFonts w:ascii="宋体" w:hAnsi="宋体" w:cs="宋体"/>
          <w:b/>
          <w:color w:val="auto"/>
          <w:kern w:val="0"/>
          <w:sz w:val="32"/>
          <w:szCs w:val="32"/>
          <w:highlight w:val="none"/>
        </w:rPr>
      </w:pPr>
    </w:p>
    <w:p>
      <w:pPr>
        <w:spacing w:line="400" w:lineRule="exact"/>
        <w:rPr>
          <w:rFonts w:ascii="宋体" w:hAnsi="宋体" w:cs="宋体"/>
          <w:b/>
          <w:color w:val="auto"/>
          <w:kern w:val="0"/>
          <w:sz w:val="32"/>
          <w:szCs w:val="32"/>
          <w:highlight w:val="none"/>
        </w:rPr>
      </w:pPr>
    </w:p>
    <w:p>
      <w:pPr>
        <w:pStyle w:val="36"/>
        <w:rPr>
          <w:rFonts w:ascii="宋体" w:hAnsi="宋体" w:cs="宋体"/>
          <w:color w:val="auto"/>
          <w:kern w:val="0"/>
          <w:sz w:val="44"/>
          <w:szCs w:val="44"/>
          <w:highlight w:val="none"/>
        </w:rPr>
      </w:pPr>
      <w:bookmarkStart w:id="88" w:name="_Toc476258672"/>
      <w:bookmarkStart w:id="89" w:name="_Toc476258760"/>
      <w:r>
        <w:rPr>
          <w:rFonts w:hint="eastAsia" w:ascii="宋体" w:hAnsi="宋体" w:cs="宋体"/>
          <w:color w:val="auto"/>
          <w:kern w:val="0"/>
          <w:sz w:val="44"/>
          <w:szCs w:val="44"/>
          <w:highlight w:val="none"/>
        </w:rPr>
        <w:t>第五章  合同主要条款</w:t>
      </w:r>
      <w:bookmarkEnd w:id="88"/>
      <w:bookmarkEnd w:id="89"/>
    </w:p>
    <w:p>
      <w:pPr>
        <w:spacing w:line="300" w:lineRule="auto"/>
        <w:ind w:left="420" w:hanging="420"/>
        <w:jc w:val="center"/>
        <w:rPr>
          <w:rFonts w:ascii="宋体" w:hAnsi="宋体" w:cs="宋体"/>
          <w:b/>
          <w:color w:val="auto"/>
          <w:kern w:val="0"/>
          <w:sz w:val="32"/>
          <w:szCs w:val="32"/>
          <w:highlight w:val="none"/>
        </w:rPr>
      </w:pPr>
    </w:p>
    <w:p>
      <w:pPr>
        <w:spacing w:line="300" w:lineRule="auto"/>
        <w:ind w:left="420" w:hanging="420"/>
        <w:jc w:val="center"/>
        <w:rPr>
          <w:rFonts w:ascii="宋体" w:hAnsi="宋体" w:cs="宋体"/>
          <w:b/>
          <w:color w:val="auto"/>
          <w:kern w:val="0"/>
          <w:sz w:val="32"/>
          <w:szCs w:val="32"/>
          <w:highlight w:val="none"/>
        </w:rPr>
      </w:pPr>
    </w:p>
    <w:p>
      <w:pPr>
        <w:spacing w:line="300" w:lineRule="auto"/>
        <w:ind w:left="420" w:hanging="420"/>
        <w:jc w:val="center"/>
        <w:rPr>
          <w:rFonts w:ascii="宋体" w:hAnsi="宋体" w:cs="宋体"/>
          <w:b/>
          <w:color w:val="auto"/>
          <w:kern w:val="0"/>
          <w:sz w:val="32"/>
          <w:szCs w:val="32"/>
          <w:highlight w:val="none"/>
        </w:rPr>
      </w:pPr>
    </w:p>
    <w:p>
      <w:pPr>
        <w:spacing w:line="300" w:lineRule="auto"/>
        <w:ind w:left="420" w:hanging="420"/>
        <w:jc w:val="center"/>
        <w:rPr>
          <w:rFonts w:ascii="宋体" w:hAnsi="宋体" w:cs="宋体"/>
          <w:b/>
          <w:color w:val="auto"/>
          <w:kern w:val="0"/>
          <w:sz w:val="32"/>
          <w:szCs w:val="32"/>
          <w:highlight w:val="none"/>
        </w:rPr>
      </w:pPr>
    </w:p>
    <w:p>
      <w:pPr>
        <w:spacing w:line="300" w:lineRule="auto"/>
        <w:ind w:left="420" w:hanging="420"/>
        <w:jc w:val="center"/>
        <w:rPr>
          <w:rFonts w:ascii="宋体" w:hAnsi="宋体" w:cs="宋体"/>
          <w:b/>
          <w:color w:val="auto"/>
          <w:kern w:val="0"/>
          <w:sz w:val="32"/>
          <w:szCs w:val="32"/>
          <w:highlight w:val="none"/>
        </w:rPr>
      </w:pPr>
    </w:p>
    <w:p>
      <w:pPr>
        <w:spacing w:line="300" w:lineRule="auto"/>
        <w:ind w:left="420" w:hanging="420"/>
        <w:jc w:val="center"/>
        <w:rPr>
          <w:rFonts w:ascii="宋体" w:hAnsi="宋体" w:cs="宋体"/>
          <w:b/>
          <w:color w:val="auto"/>
          <w:kern w:val="0"/>
          <w:sz w:val="32"/>
          <w:szCs w:val="32"/>
          <w:highlight w:val="none"/>
        </w:rPr>
      </w:pPr>
    </w:p>
    <w:p>
      <w:pPr>
        <w:autoSpaceDE w:val="0"/>
        <w:spacing w:line="600" w:lineRule="exact"/>
        <w:rPr>
          <w:rFonts w:ascii="宋体" w:hAnsi="宋体"/>
          <w:color w:val="auto"/>
          <w:highlight w:val="none"/>
        </w:rPr>
      </w:pPr>
      <w:r>
        <w:rPr>
          <w:rFonts w:hint="eastAsia" w:ascii="宋体" w:hAnsi="宋体" w:cs="宋体"/>
          <w:color w:val="auto"/>
          <w:highlight w:val="none"/>
        </w:rPr>
        <w:br w:type="page"/>
      </w:r>
    </w:p>
    <w:p>
      <w:pPr>
        <w:spacing w:line="360" w:lineRule="auto"/>
        <w:jc w:val="center"/>
        <w:rPr>
          <w:rFonts w:ascii="宋体" w:hAnsi="Courier New" w:cs="宋体"/>
          <w:b/>
          <w:color w:val="auto"/>
          <w:sz w:val="32"/>
          <w:szCs w:val="32"/>
          <w:highlight w:val="none"/>
        </w:rPr>
      </w:pPr>
      <w:r>
        <w:rPr>
          <w:rFonts w:hint="eastAsia" w:ascii="宋体" w:hAnsi="Courier New" w:cs="宋体"/>
          <w:b/>
          <w:color w:val="auto"/>
          <w:sz w:val="32"/>
          <w:szCs w:val="32"/>
          <w:highlight w:val="none"/>
        </w:rPr>
        <w:t>广西壮族自治区政府采购</w:t>
      </w:r>
      <w:r>
        <w:rPr>
          <w:rFonts w:ascii="宋体" w:hAnsi="Courier New" w:cs="宋体"/>
          <w:b/>
          <w:color w:val="auto"/>
          <w:sz w:val="32"/>
          <w:szCs w:val="32"/>
          <w:highlight w:val="none"/>
        </w:rPr>
        <w:t>合同（格式）</w:t>
      </w:r>
    </w:p>
    <w:p>
      <w:pPr>
        <w:spacing w:line="360" w:lineRule="exact"/>
        <w:ind w:right="480"/>
        <w:jc w:val="center"/>
        <w:rPr>
          <w:rFonts w:ascii="宋体" w:hAnsi="宋体" w:cs="宋体"/>
          <w:color w:val="auto"/>
          <w:kern w:val="1"/>
          <w:szCs w:val="21"/>
          <w:highlight w:val="none"/>
        </w:rPr>
      </w:pPr>
    </w:p>
    <w:p>
      <w:pPr>
        <w:spacing w:line="360" w:lineRule="exact"/>
        <w:ind w:right="480" w:firstLine="6300" w:firstLineChars="3000"/>
        <w:rPr>
          <w:rFonts w:ascii="宋体" w:hAnsi="宋体" w:cs="宋体"/>
          <w:color w:val="auto"/>
          <w:kern w:val="1"/>
          <w:szCs w:val="21"/>
          <w:highlight w:val="none"/>
        </w:rPr>
      </w:pPr>
      <w:r>
        <w:rPr>
          <w:rFonts w:ascii="宋体" w:hAnsi="宋体" w:cs="宋体"/>
          <w:color w:val="auto"/>
          <w:kern w:val="1"/>
          <w:szCs w:val="21"/>
          <w:highlight w:val="none"/>
        </w:rPr>
        <w:t>合同编号：</w:t>
      </w:r>
    </w:p>
    <w:p>
      <w:pPr>
        <w:spacing w:line="380" w:lineRule="exact"/>
        <w:rPr>
          <w:rFonts w:ascii="宋体" w:hAnsi="宋体" w:cs="宋体"/>
          <w:color w:val="auto"/>
          <w:kern w:val="1"/>
          <w:szCs w:val="21"/>
          <w:highlight w:val="none"/>
        </w:rPr>
      </w:pPr>
      <w:r>
        <w:rPr>
          <w:rFonts w:ascii="宋体" w:hAnsi="宋体" w:cs="宋体"/>
          <w:color w:val="auto"/>
          <w:kern w:val="1"/>
          <w:szCs w:val="21"/>
          <w:highlight w:val="none"/>
        </w:rPr>
        <w:t>采购人（甲方）：</w:t>
      </w:r>
      <w:r>
        <w:rPr>
          <w:rFonts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ascii="宋体" w:hAnsi="宋体" w:cs="宋体"/>
          <w:color w:val="auto"/>
          <w:spacing w:val="-20"/>
          <w:kern w:val="1"/>
          <w:szCs w:val="21"/>
          <w:highlight w:val="none"/>
        </w:rPr>
        <w:t>采 购 计 划 号：</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p>
    <w:p>
      <w:pPr>
        <w:spacing w:line="380" w:lineRule="exact"/>
        <w:rPr>
          <w:rFonts w:ascii="宋体" w:hAnsi="宋体" w:cs="宋体"/>
          <w:color w:val="auto"/>
          <w:kern w:val="1"/>
          <w:szCs w:val="21"/>
          <w:highlight w:val="none"/>
        </w:rPr>
      </w:pPr>
      <w:r>
        <w:rPr>
          <w:rFonts w:ascii="宋体" w:hAnsi="宋体" w:cs="宋体"/>
          <w:color w:val="auto"/>
          <w:kern w:val="1"/>
          <w:szCs w:val="21"/>
          <w:highlight w:val="none"/>
        </w:rPr>
        <w:t>供应商（乙方）：</w:t>
      </w:r>
      <w:r>
        <w:rPr>
          <w:rFonts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w:t>
      </w:r>
      <w:r>
        <w:rPr>
          <w:rFonts w:hint="eastAsia" w:ascii="宋体" w:hAnsi="宋体" w:cs="宋体"/>
          <w:color w:val="auto"/>
          <w:kern w:val="1"/>
          <w:szCs w:val="21"/>
          <w:highlight w:val="none"/>
        </w:rPr>
        <w:t xml:space="preserve"> </w:t>
      </w:r>
      <w:r>
        <w:rPr>
          <w:rFonts w:ascii="宋体" w:hAnsi="宋体" w:cs="宋体"/>
          <w:color w:val="auto"/>
          <w:kern w:val="1"/>
          <w:szCs w:val="21"/>
          <w:highlight w:val="none"/>
        </w:rPr>
        <w:t>采购项目名称和</w:t>
      </w:r>
      <w:r>
        <w:rPr>
          <w:rFonts w:ascii="宋体" w:hAnsi="宋体" w:cs="宋体"/>
          <w:color w:val="auto"/>
          <w:spacing w:val="-20"/>
          <w:kern w:val="1"/>
          <w:szCs w:val="21"/>
          <w:highlight w:val="none"/>
        </w:rPr>
        <w:t>编号：</w:t>
      </w:r>
      <w:r>
        <w:rPr>
          <w:rFonts w:hint="eastAsia" w:ascii="宋体" w:hAnsi="宋体" w:cs="宋体"/>
          <w:color w:val="auto"/>
          <w:spacing w:val="-20"/>
          <w:kern w:val="1"/>
          <w:szCs w:val="21"/>
          <w:highlight w:val="none"/>
          <w:u w:val="single"/>
        </w:rPr>
        <w:t xml:space="preserve"> </w:t>
      </w:r>
      <w:r>
        <w:rPr>
          <w:rFonts w:ascii="宋体" w:hAnsi="宋体" w:cs="宋体"/>
          <w:color w:val="auto"/>
          <w:kern w:val="1"/>
          <w:szCs w:val="21"/>
          <w:highlight w:val="none"/>
          <w:u w:val="single"/>
        </w:rPr>
        <w:t xml:space="preserve">                       </w:t>
      </w:r>
    </w:p>
    <w:p>
      <w:pPr>
        <w:spacing w:line="380" w:lineRule="exact"/>
        <w:rPr>
          <w:rFonts w:ascii="宋体" w:hAnsi="宋体" w:cs="宋体"/>
          <w:color w:val="auto"/>
          <w:kern w:val="1"/>
          <w:szCs w:val="21"/>
          <w:highlight w:val="none"/>
        </w:rPr>
      </w:pPr>
      <w:r>
        <w:rPr>
          <w:rFonts w:ascii="宋体" w:hAnsi="宋体" w:cs="宋体"/>
          <w:color w:val="auto"/>
          <w:kern w:val="1"/>
          <w:szCs w:val="21"/>
          <w:highlight w:val="none"/>
        </w:rPr>
        <w:t>签  订  地  点：</w:t>
      </w:r>
      <w:r>
        <w:rPr>
          <w:rFonts w:ascii="宋体" w:hAnsi="宋体" w:cs="宋体"/>
          <w:color w:val="auto"/>
          <w:kern w:val="1"/>
          <w:szCs w:val="21"/>
          <w:highlight w:val="none"/>
          <w:u w:val="single"/>
        </w:rPr>
        <w:t xml:space="preserve">                              </w:t>
      </w:r>
      <w:r>
        <w:rPr>
          <w:rFonts w:ascii="宋体" w:hAnsi="宋体" w:cs="宋体"/>
          <w:color w:val="auto"/>
          <w:kern w:val="1"/>
          <w:szCs w:val="21"/>
          <w:highlight w:val="none"/>
        </w:rPr>
        <w:t xml:space="preserve">   签 订 时 间：</w:t>
      </w:r>
      <w:r>
        <w:rPr>
          <w:rFonts w:ascii="宋体" w:hAnsi="宋体" w:cs="宋体"/>
          <w:color w:val="auto"/>
          <w:kern w:val="1"/>
          <w:szCs w:val="21"/>
          <w:highlight w:val="none"/>
          <w:u w:val="single"/>
        </w:rPr>
        <w:t xml:space="preserve">                 </w:t>
      </w:r>
      <w:r>
        <w:rPr>
          <w:rFonts w:hint="eastAsia" w:ascii="宋体" w:hAnsi="宋体" w:cs="宋体"/>
          <w:color w:val="auto"/>
          <w:kern w:val="1"/>
          <w:szCs w:val="21"/>
          <w:highlight w:val="none"/>
          <w:u w:val="single"/>
        </w:rPr>
        <w:t xml:space="preserve">       </w:t>
      </w:r>
      <w:r>
        <w:rPr>
          <w:rFonts w:ascii="宋体" w:hAnsi="宋体" w:cs="宋体"/>
          <w:color w:val="auto"/>
          <w:kern w:val="1"/>
          <w:szCs w:val="21"/>
          <w:highlight w:val="none"/>
          <w:u w:val="single"/>
        </w:rPr>
        <w:t xml:space="preserve">      </w:t>
      </w:r>
    </w:p>
    <w:p>
      <w:pPr>
        <w:spacing w:line="380" w:lineRule="exact"/>
        <w:rPr>
          <w:rFonts w:ascii="Times New Roman" w:hAnsi="Times New Roman"/>
          <w:color w:val="auto"/>
          <w:kern w:val="1"/>
          <w:highlight w:val="none"/>
        </w:rPr>
      </w:pPr>
      <w:r>
        <w:rPr>
          <w:rFonts w:ascii="Times New Roman" w:hAnsi="Times New Roman"/>
          <w:color w:val="auto"/>
          <w:kern w:val="1"/>
          <w:highlight w:val="none"/>
        </w:rPr>
        <w:t xml:space="preserve">    </w:t>
      </w:r>
    </w:p>
    <w:p>
      <w:pPr>
        <w:spacing w:line="360" w:lineRule="exact"/>
        <w:rPr>
          <w:rFonts w:ascii="Times New Roman" w:hAnsi="Times New Roman"/>
          <w:color w:val="auto"/>
          <w:kern w:val="1"/>
          <w:highlight w:val="none"/>
        </w:rPr>
      </w:pPr>
      <w:r>
        <w:rPr>
          <w:rFonts w:ascii="Times New Roman" w:hAnsi="Times New Roman"/>
          <w:color w:val="auto"/>
          <w:kern w:val="1"/>
          <w:highlight w:val="none"/>
        </w:rPr>
        <w:t xml:space="preserve">    根据《中华人民共和国政府采购法》、《中华人民共和国合同法》</w:t>
      </w:r>
      <w:r>
        <w:rPr>
          <w:rFonts w:hint="eastAsia" w:ascii="宋体" w:hAnsi="宋体"/>
          <w:color w:val="auto"/>
          <w:szCs w:val="21"/>
          <w:highlight w:val="none"/>
        </w:rPr>
        <w:t>等</w:t>
      </w:r>
      <w:r>
        <w:rPr>
          <w:rFonts w:ascii="Times New Roman" w:hAnsi="Times New Roman"/>
          <w:color w:val="auto"/>
          <w:kern w:val="1"/>
          <w:highlight w:val="none"/>
        </w:rPr>
        <w:t>法律、法规规定，按照</w:t>
      </w:r>
      <w:r>
        <w:rPr>
          <w:rFonts w:hint="eastAsia" w:ascii="Times New Roman" w:hAnsi="Times New Roman"/>
          <w:color w:val="auto"/>
          <w:kern w:val="1"/>
          <w:highlight w:val="none"/>
        </w:rPr>
        <w:t>竞争性</w:t>
      </w:r>
      <w:r>
        <w:rPr>
          <w:rFonts w:ascii="Times New Roman" w:hAnsi="Times New Roman"/>
          <w:color w:val="auto"/>
          <w:kern w:val="1"/>
          <w:highlight w:val="none"/>
        </w:rPr>
        <w:t>磋商文件规定条款和</w:t>
      </w:r>
      <w:r>
        <w:rPr>
          <w:rFonts w:hint="eastAsia" w:ascii="Times New Roman" w:hAnsi="Times New Roman"/>
          <w:color w:val="auto"/>
          <w:kern w:val="1"/>
          <w:highlight w:val="none"/>
        </w:rPr>
        <w:t>成交</w:t>
      </w:r>
      <w:r>
        <w:rPr>
          <w:rFonts w:ascii="Times New Roman" w:hAnsi="Times New Roman"/>
          <w:color w:val="auto"/>
          <w:kern w:val="1"/>
          <w:highlight w:val="none"/>
        </w:rPr>
        <w:t>供应商</w:t>
      </w:r>
      <w:r>
        <w:rPr>
          <w:rFonts w:hint="eastAsia" w:ascii="Times New Roman" w:hAnsi="Times New Roman"/>
          <w:color w:val="auto"/>
          <w:kern w:val="1"/>
          <w:highlight w:val="none"/>
        </w:rPr>
        <w:t>响应</w:t>
      </w:r>
      <w:r>
        <w:rPr>
          <w:rFonts w:ascii="Times New Roman" w:hAnsi="Times New Roman"/>
          <w:color w:val="auto"/>
          <w:kern w:val="1"/>
          <w:highlight w:val="none"/>
        </w:rPr>
        <w:t>文件及其承诺，甲乙双方签订本合同。</w:t>
      </w:r>
    </w:p>
    <w:p>
      <w:pPr>
        <w:spacing w:line="360" w:lineRule="exact"/>
        <w:rPr>
          <w:rFonts w:ascii="Times New Roman" w:hAnsi="Times New Roman"/>
          <w:b/>
          <w:color w:val="auto"/>
          <w:kern w:val="1"/>
          <w:highlight w:val="none"/>
        </w:rPr>
      </w:pPr>
      <w:r>
        <w:rPr>
          <w:rFonts w:ascii="Times New Roman" w:hAnsi="Times New Roman"/>
          <w:color w:val="auto"/>
          <w:kern w:val="1"/>
          <w:highlight w:val="none"/>
        </w:rPr>
        <w:t xml:space="preserve">   </w:t>
      </w:r>
      <w:r>
        <w:rPr>
          <w:rFonts w:ascii="Times New Roman" w:hAnsi="Times New Roman"/>
          <w:b/>
          <w:color w:val="auto"/>
          <w:kern w:val="1"/>
          <w:highlight w:val="none"/>
        </w:rPr>
        <w:t xml:space="preserve"> 第一条　合同标的</w:t>
      </w:r>
    </w:p>
    <w:p>
      <w:pPr>
        <w:spacing w:line="360" w:lineRule="exact"/>
        <w:ind w:firstLine="420"/>
        <w:rPr>
          <w:rFonts w:ascii="宋体" w:hAnsi="宋体" w:cs="宋体"/>
          <w:color w:val="auto"/>
          <w:kern w:val="1"/>
          <w:szCs w:val="21"/>
          <w:highlight w:val="none"/>
          <w:u w:val="single"/>
        </w:rPr>
      </w:pPr>
      <w:r>
        <w:rPr>
          <w:rFonts w:hint="eastAsia" w:ascii="宋体" w:hAnsi="宋体" w:cs="宋体"/>
          <w:color w:val="auto"/>
          <w:kern w:val="1"/>
          <w:szCs w:val="21"/>
          <w:highlight w:val="none"/>
          <w:u w:val="single"/>
        </w:rPr>
        <w:t xml:space="preserve">   南宁市望州路军休所军休干部2024年健康疗养    </w:t>
      </w:r>
    </w:p>
    <w:p>
      <w:pPr>
        <w:spacing w:line="360" w:lineRule="exact"/>
        <w:ind w:left="435"/>
        <w:rPr>
          <w:rFonts w:ascii="宋体" w:hAnsi="宋体"/>
          <w:b/>
          <w:color w:val="auto"/>
          <w:szCs w:val="21"/>
          <w:highlight w:val="none"/>
        </w:rPr>
      </w:pPr>
      <w:r>
        <w:rPr>
          <w:rFonts w:hint="eastAsia" w:ascii="宋体" w:hAnsi="宋体"/>
          <w:b/>
          <w:color w:val="auto"/>
          <w:szCs w:val="21"/>
          <w:highlight w:val="none"/>
        </w:rPr>
        <w:t>第二条　合同金额</w:t>
      </w:r>
    </w:p>
    <w:p>
      <w:pPr>
        <w:spacing w:line="400" w:lineRule="exact"/>
        <w:ind w:left="420" w:hanging="420" w:hangingChars="200"/>
        <w:rPr>
          <w:rFonts w:ascii="宋体" w:hAnsi="宋体"/>
          <w:color w:val="auto"/>
          <w:szCs w:val="21"/>
          <w:highlight w:val="none"/>
        </w:rPr>
      </w:pPr>
      <w:r>
        <w:rPr>
          <w:rFonts w:hint="eastAsia" w:ascii="宋体" w:hAnsi="宋体"/>
          <w:color w:val="auto"/>
          <w:szCs w:val="21"/>
          <w:highlight w:val="none"/>
        </w:rPr>
        <w:t xml:space="preserve">    </w:t>
      </w:r>
      <w:bookmarkStart w:id="90" w:name="_Hlk165834727"/>
      <w:r>
        <w:rPr>
          <w:rFonts w:hint="eastAsia" w:ascii="宋体" w:hAnsi="宋体"/>
          <w:color w:val="auto"/>
          <w:szCs w:val="21"/>
          <w:highlight w:val="none"/>
        </w:rPr>
        <w:t>第一批合同金额（大写）人民币</w:t>
      </w:r>
      <w:r>
        <w:rPr>
          <w:rFonts w:hint="eastAsia" w:ascii="宋体" w:hAnsi="宋体"/>
          <w:color w:val="auto"/>
          <w:szCs w:val="21"/>
          <w:highlight w:val="none"/>
          <w:u w:val="single"/>
        </w:rPr>
        <w:t xml:space="preserve">                       （￥         元</w:t>
      </w:r>
      <w:r>
        <w:rPr>
          <w:rFonts w:hint="eastAsia" w:ascii="宋体" w:hAnsi="宋体"/>
          <w:color w:val="auto"/>
          <w:szCs w:val="21"/>
          <w:highlight w:val="none"/>
        </w:rPr>
        <w:t>）（详见报价表）。</w:t>
      </w:r>
      <w:bookmarkEnd w:id="90"/>
      <w:r>
        <w:rPr>
          <w:rFonts w:hint="eastAsia" w:ascii="宋体" w:hAnsi="宋体"/>
          <w:color w:val="auto"/>
          <w:szCs w:val="21"/>
          <w:highlight w:val="none"/>
        </w:rPr>
        <w:t>第二批合同金额（大写）人民币</w:t>
      </w:r>
      <w:r>
        <w:rPr>
          <w:rFonts w:hint="eastAsia" w:ascii="宋体" w:hAnsi="宋体"/>
          <w:color w:val="auto"/>
          <w:szCs w:val="21"/>
          <w:highlight w:val="none"/>
          <w:u w:val="single"/>
        </w:rPr>
        <w:t xml:space="preserve">                       （￥         元）</w:t>
      </w:r>
      <w:r>
        <w:rPr>
          <w:rFonts w:hint="eastAsia" w:ascii="宋体" w:hAnsi="宋体"/>
          <w:color w:val="auto"/>
          <w:szCs w:val="21"/>
          <w:highlight w:val="none"/>
        </w:rPr>
        <w:t>（详见报价表）。</w:t>
      </w:r>
    </w:p>
    <w:p>
      <w:pPr>
        <w:spacing w:line="36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供应商所报价格包括完成本项目采购要求、人员要求所产生的全部费用。</w:t>
      </w:r>
    </w:p>
    <w:p>
      <w:pPr>
        <w:spacing w:line="360" w:lineRule="exact"/>
        <w:rPr>
          <w:rFonts w:ascii="宋体" w:hAnsi="宋体"/>
          <w:b/>
          <w:color w:val="auto"/>
          <w:szCs w:val="21"/>
          <w:highlight w:val="none"/>
        </w:rPr>
      </w:pPr>
      <w:r>
        <w:rPr>
          <w:rFonts w:hint="eastAsia" w:ascii="宋体" w:hAnsi="宋体"/>
          <w:b/>
          <w:color w:val="auto"/>
          <w:szCs w:val="21"/>
          <w:highlight w:val="none"/>
        </w:rPr>
        <w:t xml:space="preserve">    第三条　工作服务内容、技术标准及地点</w:t>
      </w:r>
    </w:p>
    <w:p>
      <w:pPr>
        <w:spacing w:line="360" w:lineRule="exact"/>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1、工作服务内容：按乙方响应文件中所承诺的项目服务内容。</w:t>
      </w:r>
    </w:p>
    <w:p>
      <w:pPr>
        <w:numPr>
          <w:ilvl w:val="0"/>
          <w:numId w:val="5"/>
        </w:numPr>
        <w:spacing w:line="360" w:lineRule="exact"/>
        <w:ind w:firstLine="420"/>
        <w:rPr>
          <w:rFonts w:ascii="宋体" w:hAnsi="宋体"/>
          <w:color w:val="auto"/>
          <w:szCs w:val="21"/>
          <w:highlight w:val="none"/>
        </w:rPr>
      </w:pPr>
      <w:r>
        <w:rPr>
          <w:rFonts w:hint="eastAsia" w:ascii="宋体" w:hAnsi="宋体"/>
          <w:color w:val="auto"/>
          <w:szCs w:val="21"/>
          <w:highlight w:val="none"/>
        </w:rPr>
        <w:t>服务地点：</w:t>
      </w:r>
      <w:r>
        <w:rPr>
          <w:rFonts w:hint="eastAsia" w:ascii="宋体" w:hAnsi="宋体" w:cs="宋体"/>
          <w:color w:val="auto"/>
          <w:szCs w:val="21"/>
          <w:highlight w:val="none"/>
        </w:rPr>
        <w:t>采购需求中指定的地点</w:t>
      </w:r>
    </w:p>
    <w:p>
      <w:pPr>
        <w:spacing w:line="360" w:lineRule="exact"/>
        <w:ind w:firstLine="420"/>
        <w:rPr>
          <w:rFonts w:ascii="宋体" w:hAnsi="宋体"/>
          <w:color w:val="auto"/>
          <w:szCs w:val="21"/>
          <w:highlight w:val="none"/>
        </w:rPr>
      </w:pPr>
      <w:r>
        <w:rPr>
          <w:rFonts w:hint="eastAsia" w:ascii="宋体" w:hAnsi="宋体"/>
          <w:color w:val="auto"/>
          <w:szCs w:val="21"/>
          <w:highlight w:val="none"/>
        </w:rPr>
        <w:t>乙方所提供的服务必须与响应文件和承诺相一致且符合相应的服务规范及标准。</w:t>
      </w:r>
    </w:p>
    <w:p>
      <w:pPr>
        <w:spacing w:line="360" w:lineRule="exact"/>
        <w:rPr>
          <w:rFonts w:ascii="宋体" w:hAnsi="宋体"/>
          <w:b/>
          <w:color w:val="auto"/>
          <w:szCs w:val="21"/>
          <w:highlight w:val="none"/>
        </w:rPr>
      </w:pPr>
      <w:r>
        <w:rPr>
          <w:rFonts w:hint="eastAsia" w:ascii="宋体" w:hAnsi="宋体"/>
          <w:color w:val="auto"/>
          <w:szCs w:val="21"/>
          <w:highlight w:val="none"/>
        </w:rPr>
        <w:t xml:space="preserve">    </w:t>
      </w:r>
      <w:r>
        <w:rPr>
          <w:rFonts w:hint="eastAsia" w:ascii="宋体" w:hAnsi="宋体"/>
          <w:b/>
          <w:color w:val="auto"/>
          <w:szCs w:val="21"/>
          <w:highlight w:val="none"/>
        </w:rPr>
        <w:t>第四条　权利保证</w:t>
      </w:r>
    </w:p>
    <w:p>
      <w:pPr>
        <w:spacing w:line="360" w:lineRule="exact"/>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乙方应保证所提供货物（服务）在使用时不会侵犯任何第三方的专利权、商标权、工业设计权或其他权利。</w:t>
      </w:r>
    </w:p>
    <w:p>
      <w:pPr>
        <w:spacing w:line="360" w:lineRule="exact"/>
        <w:rPr>
          <w:rFonts w:ascii="宋体" w:hAnsi="宋体"/>
          <w:color w:val="auto"/>
          <w:szCs w:val="21"/>
          <w:highlight w:val="none"/>
        </w:rPr>
      </w:pPr>
      <w:r>
        <w:rPr>
          <w:rFonts w:hint="eastAsia" w:ascii="宋体" w:hAnsi="宋体" w:cs="宋体"/>
          <w:color w:val="auto"/>
          <w:szCs w:val="21"/>
          <w:highlight w:val="none"/>
        </w:rPr>
        <w:t xml:space="preserve">    本项目所形成的数据和报告归采购方所有。</w:t>
      </w:r>
    </w:p>
    <w:p>
      <w:pPr>
        <w:spacing w:line="360" w:lineRule="exact"/>
        <w:ind w:firstLine="420"/>
        <w:rPr>
          <w:rFonts w:ascii="宋体" w:hAnsi="宋体"/>
          <w:color w:val="auto"/>
          <w:szCs w:val="21"/>
          <w:highlight w:val="none"/>
        </w:rPr>
      </w:pPr>
      <w:r>
        <w:rPr>
          <w:rFonts w:hint="eastAsia" w:ascii="宋体" w:hAnsi="宋体"/>
          <w:color w:val="auto"/>
          <w:szCs w:val="21"/>
          <w:highlight w:val="none"/>
        </w:rPr>
        <w:t>没有甲方事先书面同意，乙方不得将由甲方提供的有关合同或任何合同条文资料提供给与履行本合同无关的任何其他人。即使向履行本合同有关的人员提供，也应注意保密并限于履行合同的必需范围。</w:t>
      </w:r>
    </w:p>
    <w:p>
      <w:pPr>
        <w:spacing w:line="360" w:lineRule="exact"/>
        <w:rPr>
          <w:rFonts w:ascii="宋体" w:hAnsi="宋体"/>
          <w:b/>
          <w:color w:val="auto"/>
          <w:szCs w:val="21"/>
          <w:highlight w:val="none"/>
        </w:rPr>
      </w:pPr>
      <w:r>
        <w:rPr>
          <w:rFonts w:hint="eastAsia" w:ascii="宋体" w:hAnsi="宋体"/>
          <w:b/>
          <w:color w:val="auto"/>
          <w:szCs w:val="21"/>
          <w:highlight w:val="none"/>
        </w:rPr>
        <w:t xml:space="preserve">     第五条　售后服务、质保期</w:t>
      </w:r>
    </w:p>
    <w:p>
      <w:pPr>
        <w:spacing w:line="360" w:lineRule="exact"/>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1、乙方应按照国家有关法律法规和“三包”规定以及磋商文件、响应文件和本合同所附的服务承诺，为甲方提供售后服务。</w:t>
      </w:r>
    </w:p>
    <w:p>
      <w:pPr>
        <w:spacing w:line="360" w:lineRule="exact"/>
        <w:rPr>
          <w:rFonts w:ascii="宋体" w:hAnsi="宋体"/>
          <w:color w:val="auto"/>
          <w:szCs w:val="21"/>
          <w:highlight w:val="none"/>
        </w:rPr>
      </w:pPr>
      <w:r>
        <w:rPr>
          <w:rFonts w:hint="eastAsia" w:ascii="宋体" w:hAnsi="宋体"/>
          <w:color w:val="auto"/>
          <w:szCs w:val="21"/>
          <w:highlight w:val="none"/>
        </w:rPr>
        <w:t xml:space="preserve">    2、乙方提供的服务承诺、质保期及其他具体约定事项。（见合同附件）</w:t>
      </w:r>
    </w:p>
    <w:p>
      <w:pPr>
        <w:spacing w:line="360" w:lineRule="exact"/>
        <w:rPr>
          <w:rFonts w:ascii="宋体" w:hAnsi="宋体"/>
          <w:b/>
          <w:color w:val="auto"/>
          <w:szCs w:val="21"/>
          <w:highlight w:val="none"/>
        </w:rPr>
      </w:pPr>
      <w:r>
        <w:rPr>
          <w:rFonts w:hint="eastAsia" w:ascii="宋体" w:hAnsi="宋体"/>
          <w:b/>
          <w:color w:val="auto"/>
          <w:szCs w:val="21"/>
          <w:highlight w:val="none"/>
        </w:rPr>
        <w:t xml:space="preserve">    第六条  付款方式</w:t>
      </w:r>
    </w:p>
    <w:p>
      <w:pPr>
        <w:spacing w:line="360" w:lineRule="exact"/>
        <w:rPr>
          <w:rFonts w:ascii="宋体" w:hAnsi="宋体"/>
          <w:color w:val="auto"/>
          <w:szCs w:val="21"/>
          <w:highlight w:val="none"/>
        </w:rPr>
      </w:pPr>
      <w:r>
        <w:rPr>
          <w:rFonts w:hint="eastAsia" w:ascii="宋体" w:hAnsi="宋体"/>
          <w:b/>
          <w:color w:val="auto"/>
          <w:szCs w:val="21"/>
          <w:highlight w:val="none"/>
        </w:rPr>
        <w:t xml:space="preserve">   </w:t>
      </w:r>
      <w:r>
        <w:rPr>
          <w:rFonts w:hint="eastAsia" w:ascii="Times New Roman" w:hAnsi="宋体"/>
          <w:color w:val="auto"/>
          <w:highlight w:val="none"/>
        </w:rPr>
        <w:t xml:space="preserve"> </w:t>
      </w:r>
      <w:r>
        <w:rPr>
          <w:rFonts w:hint="eastAsia" w:ascii="宋体" w:hAnsi="宋体"/>
          <w:color w:val="auto"/>
          <w:szCs w:val="21"/>
          <w:highlight w:val="none"/>
        </w:rPr>
        <w:t>1、资金性质：</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           </w:t>
      </w:r>
      <w:r>
        <w:rPr>
          <w:rFonts w:hint="eastAsia" w:ascii="宋体" w:hAnsi="宋体"/>
          <w:b/>
          <w:color w:val="auto"/>
          <w:szCs w:val="21"/>
          <w:highlight w:val="none"/>
        </w:rPr>
        <w:t>。</w:t>
      </w:r>
    </w:p>
    <w:p>
      <w:pPr>
        <w:snapToGrid w:val="0"/>
        <w:spacing w:line="360" w:lineRule="exact"/>
        <w:ind w:left="-61" w:leftChars="-29" w:firstLine="514" w:firstLineChars="245"/>
        <w:rPr>
          <w:rFonts w:ascii="宋体" w:hAnsi="宋体"/>
          <w:color w:val="auto"/>
          <w:szCs w:val="21"/>
          <w:highlight w:val="none"/>
        </w:rPr>
      </w:pPr>
      <w:r>
        <w:rPr>
          <w:rFonts w:hint="eastAsia" w:ascii="Times New Roman" w:hAnsi="Times New Roman"/>
          <w:color w:val="auto"/>
          <w:highlight w:val="none"/>
        </w:rPr>
        <w:t>2、付款方式：</w:t>
      </w:r>
      <w:r>
        <w:rPr>
          <w:rFonts w:hint="eastAsia" w:ascii="宋体" w:hAnsi="宋体"/>
          <w:color w:val="auto"/>
          <w:szCs w:val="21"/>
          <w:highlight w:val="none"/>
        </w:rPr>
        <w:t>按本项目付款条件规定进行缴纳。</w:t>
      </w:r>
    </w:p>
    <w:p>
      <w:pPr>
        <w:snapToGrid w:val="0"/>
        <w:spacing w:line="360" w:lineRule="exact"/>
        <w:ind w:left="-61" w:leftChars="-29" w:firstLine="517" w:firstLineChars="245"/>
        <w:rPr>
          <w:rFonts w:ascii="宋体" w:hAnsi="Courier New" w:cs="Courier New"/>
          <w:b/>
          <w:color w:val="auto"/>
          <w:szCs w:val="21"/>
          <w:highlight w:val="none"/>
        </w:rPr>
      </w:pPr>
      <w:r>
        <w:rPr>
          <w:rFonts w:hint="eastAsia" w:ascii="宋体" w:hAnsi="Courier New" w:cs="Courier New"/>
          <w:b/>
          <w:color w:val="auto"/>
          <w:szCs w:val="21"/>
          <w:highlight w:val="none"/>
        </w:rPr>
        <w:t>第七条　 履约保证金</w:t>
      </w:r>
    </w:p>
    <w:p>
      <w:pPr>
        <w:snapToGrid w:val="0"/>
        <w:spacing w:line="360" w:lineRule="exact"/>
        <w:ind w:left="-61" w:leftChars="-29" w:firstLine="514" w:firstLineChars="245"/>
        <w:rPr>
          <w:rFonts w:ascii="Times New Roman" w:hAnsi="Times New Roman"/>
          <w:color w:val="auto"/>
          <w:highlight w:val="none"/>
        </w:rPr>
      </w:pPr>
      <w:r>
        <w:rPr>
          <w:rFonts w:hint="eastAsia" w:ascii="Times New Roman" w:hAnsi="Times New Roman"/>
          <w:color w:val="auto"/>
          <w:highlight w:val="none"/>
        </w:rPr>
        <w:t>按本项目履约保证金规定比例缴纳。</w:t>
      </w:r>
    </w:p>
    <w:p>
      <w:pPr>
        <w:snapToGrid w:val="0"/>
        <w:spacing w:line="360" w:lineRule="exact"/>
        <w:ind w:left="-61" w:leftChars="-29" w:firstLine="517" w:firstLineChars="245"/>
        <w:rPr>
          <w:rFonts w:ascii="宋体" w:hAnsi="宋体"/>
          <w:b/>
          <w:color w:val="auto"/>
          <w:szCs w:val="21"/>
          <w:highlight w:val="none"/>
        </w:rPr>
      </w:pPr>
      <w:r>
        <w:rPr>
          <w:rFonts w:hint="eastAsia" w:ascii="宋体" w:hAnsi="宋体"/>
          <w:b/>
          <w:color w:val="auto"/>
          <w:szCs w:val="21"/>
          <w:highlight w:val="none"/>
        </w:rPr>
        <w:t>第八条  税费</w:t>
      </w:r>
    </w:p>
    <w:p>
      <w:pPr>
        <w:snapToGrid w:val="0"/>
        <w:spacing w:line="360" w:lineRule="exact"/>
        <w:ind w:left="-61" w:leftChars="-29" w:firstLine="514" w:firstLineChars="245"/>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pPr>
        <w:spacing w:line="360" w:lineRule="exact"/>
        <w:ind w:firstLine="420"/>
        <w:rPr>
          <w:rFonts w:ascii="Times New Roman" w:hAnsi="Times New Roman"/>
          <w:b/>
          <w:color w:val="auto"/>
          <w:highlight w:val="none"/>
        </w:rPr>
      </w:pPr>
      <w:r>
        <w:rPr>
          <w:rFonts w:hint="eastAsia" w:ascii="Times New Roman" w:hAnsi="Times New Roman"/>
          <w:b/>
          <w:color w:val="auto"/>
          <w:highlight w:val="none"/>
        </w:rPr>
        <w:t>第九条  验收</w:t>
      </w:r>
    </w:p>
    <w:p>
      <w:pPr>
        <w:spacing w:line="36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1、甲方对乙方提交的服务依据招标文件上的要求进行初步验收，符合招标文件技术要求的，给予签收，初步验收不合格的不予签收。甲方应当在成交人的服务成果提交后七个工作日内进行验收。</w:t>
      </w:r>
    </w:p>
    <w:p>
      <w:pPr>
        <w:spacing w:line="36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2、乙方提交服务成果前应对提交的服务成果作出全面检查和对验收文件进行整理，并列出清单，作为甲方验收和使用的技术条件依据，检验的结果应随服务成果交甲方。</w:t>
      </w:r>
    </w:p>
    <w:p>
      <w:pPr>
        <w:spacing w:line="36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3、对技术复杂的服务，甲方应请国家认可的专业检测机构参与初步验收及最终验收，并由其出具质量检测报告。</w:t>
      </w:r>
    </w:p>
    <w:p>
      <w:pPr>
        <w:spacing w:line="360" w:lineRule="exact"/>
        <w:ind w:firstLine="420"/>
        <w:rPr>
          <w:rFonts w:ascii="宋体" w:hAnsi="宋体" w:cs="宋体"/>
          <w:color w:val="auto"/>
          <w:kern w:val="1"/>
          <w:szCs w:val="21"/>
          <w:highlight w:val="none"/>
        </w:rPr>
      </w:pPr>
      <w:r>
        <w:rPr>
          <w:rFonts w:hint="eastAsia" w:ascii="宋体" w:hAnsi="宋体" w:cs="宋体"/>
          <w:color w:val="auto"/>
          <w:kern w:val="1"/>
          <w:szCs w:val="21"/>
          <w:highlight w:val="none"/>
        </w:rPr>
        <w:t>4、验收时乙方必须在现场，验收完毕后作出验收结果报告；验收费用由乙方负责。</w:t>
      </w:r>
    </w:p>
    <w:p>
      <w:pPr>
        <w:spacing w:line="400" w:lineRule="exact"/>
        <w:ind w:firstLine="422" w:firstLineChars="200"/>
        <w:rPr>
          <w:rFonts w:ascii="宋体" w:hAnsi="Courier New" w:cs="Courier New"/>
          <w:b/>
          <w:color w:val="auto"/>
          <w:szCs w:val="21"/>
          <w:highlight w:val="none"/>
        </w:rPr>
      </w:pPr>
      <w:r>
        <w:rPr>
          <w:rFonts w:hint="eastAsia" w:ascii="宋体" w:hAnsi="Courier New" w:cs="Courier New"/>
          <w:b/>
          <w:color w:val="auto"/>
          <w:szCs w:val="21"/>
          <w:highlight w:val="none"/>
        </w:rPr>
        <w:t>第</w:t>
      </w:r>
      <w:r>
        <w:rPr>
          <w:rFonts w:hint="eastAsia" w:ascii="宋体" w:hAnsi="Courier New" w:cs="Courier New"/>
          <w:b/>
          <w:color w:val="auto"/>
          <w:szCs w:val="21"/>
          <w:highlight w:val="none"/>
        </w:rPr>
        <w:t>十条  甲方责任</w:t>
      </w:r>
    </w:p>
    <w:p>
      <w:pPr>
        <w:spacing w:line="400"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hint="eastAsia" w:ascii="宋体" w:hAnsi="宋体" w:cs="Courier New"/>
          <w:color w:val="auto"/>
          <w:szCs w:val="21"/>
          <w:highlight w:val="none"/>
        </w:rPr>
        <w:t>按合同规定向乙方支付费用。</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2、尊重和保护乙方的知识产权，未经乙方同意，甲方对乙方交付的各种成果文件不得向第三方转让或用于与本工程无关的项目。</w:t>
      </w:r>
    </w:p>
    <w:p>
      <w:pPr>
        <w:spacing w:line="40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第十一条  乙方责任</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、乙方应按国家规定和本合同约定的技术规范、标准进行设计，按本合同规定的内容、时间及份数向甲方交付成果文件，并对所提交文件的质量负责。</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、乙方应根据合同规定，派出相关专业的工作人员进行设项目期间的尾矿库勘察和调研，以确保所取得的数据是真实的，并具有足够的代表性和说服力。</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、乙方应根据本合同的规定，在双方约定的时间内完成并提交文件。同时根据甲方的安排，及时派出相关人员参加评审会议。对于评审过程中提出的修改意见，应会同甲方认真落实并进行修改直至通过评审。</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、乙方</w:t>
      </w:r>
      <w:r>
        <w:rPr>
          <w:rFonts w:ascii="宋体" w:hAnsi="宋体"/>
          <w:color w:val="auto"/>
          <w:szCs w:val="21"/>
          <w:highlight w:val="none"/>
        </w:rPr>
        <w:t>对设计资料及文件出现的遗漏或错误负责修改或补充。由于</w:t>
      </w:r>
      <w:r>
        <w:rPr>
          <w:rFonts w:hint="eastAsia" w:ascii="宋体" w:hAnsi="宋体"/>
          <w:color w:val="auto"/>
          <w:szCs w:val="21"/>
          <w:highlight w:val="none"/>
        </w:rPr>
        <w:t>乙方</w:t>
      </w:r>
      <w:r>
        <w:rPr>
          <w:rFonts w:ascii="宋体" w:hAnsi="宋体"/>
          <w:color w:val="auto"/>
          <w:szCs w:val="21"/>
          <w:highlight w:val="none"/>
        </w:rPr>
        <w:t>错误造成工程质量事故损失，承包人除负责采取补救措施外，应免收直接受损失部分的设计费</w:t>
      </w:r>
      <w:r>
        <w:rPr>
          <w:rFonts w:hint="eastAsia" w:ascii="宋体" w:hAnsi="宋体"/>
          <w:color w:val="auto"/>
          <w:szCs w:val="21"/>
          <w:highlight w:val="none"/>
        </w:rPr>
        <w:t>并</w:t>
      </w:r>
      <w:r>
        <w:rPr>
          <w:rFonts w:ascii="宋体" w:hAnsi="宋体"/>
          <w:color w:val="auto"/>
          <w:szCs w:val="21"/>
          <w:highlight w:val="none"/>
        </w:rPr>
        <w:t>向</w:t>
      </w:r>
      <w:r>
        <w:rPr>
          <w:rFonts w:hint="eastAsia" w:ascii="宋体" w:hAnsi="宋体"/>
          <w:color w:val="auto"/>
          <w:szCs w:val="21"/>
          <w:highlight w:val="none"/>
        </w:rPr>
        <w:t>甲方</w:t>
      </w:r>
      <w:r>
        <w:rPr>
          <w:rFonts w:ascii="宋体" w:hAnsi="宋体"/>
          <w:color w:val="auto"/>
          <w:szCs w:val="21"/>
          <w:highlight w:val="none"/>
        </w:rPr>
        <w:t>支付直接受损失部分</w:t>
      </w:r>
      <w:r>
        <w:rPr>
          <w:rFonts w:hint="eastAsia" w:ascii="宋体" w:hAnsi="宋体"/>
          <w:color w:val="auto"/>
          <w:szCs w:val="21"/>
          <w:highlight w:val="none"/>
        </w:rPr>
        <w:t>的</w:t>
      </w:r>
      <w:r>
        <w:rPr>
          <w:rFonts w:ascii="宋体" w:hAnsi="宋体"/>
          <w:color w:val="auto"/>
          <w:szCs w:val="21"/>
          <w:highlight w:val="none"/>
        </w:rPr>
        <w:t>赔偿金。</w:t>
      </w:r>
    </w:p>
    <w:p>
      <w:pPr>
        <w:spacing w:line="360" w:lineRule="exact"/>
        <w:ind w:firstLine="211" w:firstLineChars="100"/>
        <w:rPr>
          <w:rFonts w:ascii="Times New Roman" w:hAnsi="Times New Roman"/>
          <w:b/>
          <w:color w:val="auto"/>
          <w:highlight w:val="none"/>
        </w:rPr>
      </w:pPr>
      <w:r>
        <w:rPr>
          <w:rFonts w:hint="eastAsia" w:ascii="Times New Roman" w:hAnsi="Times New Roman"/>
          <w:b/>
          <w:color w:val="auto"/>
          <w:highlight w:val="none"/>
        </w:rPr>
        <w:t xml:space="preserve">   第十二条  违约责任</w:t>
      </w:r>
    </w:p>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1、在合同履行期间，甲方要求终止或解除合同，乙方</w:t>
      </w:r>
      <w:r>
        <w:rPr>
          <w:rFonts w:ascii="宋体" w:hAnsi="宋体"/>
          <w:color w:val="auto"/>
          <w:szCs w:val="21"/>
          <w:highlight w:val="none"/>
        </w:rPr>
        <w:t>未开始</w:t>
      </w:r>
      <w:r>
        <w:rPr>
          <w:rFonts w:hint="eastAsia" w:ascii="宋体" w:hAnsi="宋体"/>
          <w:color w:val="auto"/>
          <w:szCs w:val="21"/>
          <w:highlight w:val="none"/>
        </w:rPr>
        <w:t>项目</w:t>
      </w:r>
      <w:r>
        <w:rPr>
          <w:rFonts w:ascii="宋体" w:hAnsi="宋体"/>
          <w:color w:val="auto"/>
          <w:szCs w:val="21"/>
          <w:highlight w:val="none"/>
        </w:rPr>
        <w:t>工作的，不退还</w:t>
      </w:r>
      <w:r>
        <w:rPr>
          <w:rFonts w:hint="eastAsia" w:ascii="宋体" w:hAnsi="宋体"/>
          <w:color w:val="auto"/>
          <w:szCs w:val="21"/>
          <w:highlight w:val="none"/>
        </w:rPr>
        <w:t>甲方</w:t>
      </w:r>
      <w:r>
        <w:rPr>
          <w:rFonts w:ascii="宋体" w:hAnsi="宋体"/>
          <w:color w:val="auto"/>
          <w:szCs w:val="21"/>
          <w:highlight w:val="none"/>
        </w:rPr>
        <w:t>已付的</w:t>
      </w:r>
      <w:r>
        <w:rPr>
          <w:rFonts w:hint="eastAsia" w:ascii="宋体" w:hAnsi="宋体"/>
          <w:color w:val="auto"/>
          <w:szCs w:val="21"/>
          <w:highlight w:val="none"/>
        </w:rPr>
        <w:t>费用</w:t>
      </w:r>
      <w:r>
        <w:rPr>
          <w:rFonts w:ascii="宋体" w:hAnsi="宋体"/>
          <w:color w:val="auto"/>
          <w:szCs w:val="21"/>
          <w:highlight w:val="none"/>
        </w:rPr>
        <w:t>；已开始设计工作的，</w:t>
      </w:r>
      <w:r>
        <w:rPr>
          <w:rFonts w:hint="eastAsia" w:ascii="宋体" w:hAnsi="宋体"/>
          <w:color w:val="auto"/>
          <w:szCs w:val="21"/>
          <w:highlight w:val="none"/>
        </w:rPr>
        <w:t>甲方应根据乙方已进行的实际工作量，不足一半时，按</w:t>
      </w:r>
      <w:r>
        <w:rPr>
          <w:rFonts w:ascii="宋体" w:hAnsi="宋体"/>
          <w:color w:val="auto"/>
          <w:szCs w:val="21"/>
          <w:highlight w:val="none"/>
        </w:rPr>
        <w:t>该阶段设计费的</w:t>
      </w:r>
      <w:r>
        <w:rPr>
          <w:rFonts w:hint="eastAsia" w:ascii="宋体" w:hAnsi="宋体"/>
          <w:color w:val="auto"/>
          <w:szCs w:val="21"/>
          <w:highlight w:val="none"/>
        </w:rPr>
        <w:t>一半支付：超过一半时，按</w:t>
      </w:r>
      <w:r>
        <w:rPr>
          <w:rFonts w:ascii="宋体" w:hAnsi="宋体"/>
          <w:color w:val="auto"/>
          <w:szCs w:val="21"/>
          <w:highlight w:val="none"/>
        </w:rPr>
        <w:t>该阶段设计费的</w:t>
      </w:r>
      <w:r>
        <w:rPr>
          <w:rFonts w:hint="eastAsia" w:ascii="宋体" w:hAnsi="宋体"/>
          <w:color w:val="auto"/>
          <w:szCs w:val="21"/>
          <w:highlight w:val="none"/>
        </w:rPr>
        <w:t>全额支付。</w:t>
      </w:r>
    </w:p>
    <w:p>
      <w:pPr>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甲方应按本合同规定的金额和日期向乙方支付项目费用，每逾期支付一天，应承担应支付金额千分之二的逾期违约金。逾期超过30天以上时，乙方有权暂停履行下阶段工作，并书面通知甲方，且乙方提交成果文件的时间相应顺延。</w:t>
      </w:r>
    </w:p>
    <w:p>
      <w:pPr>
        <w:spacing w:line="400" w:lineRule="exact"/>
        <w:ind w:firstLine="420" w:firstLineChars="200"/>
        <w:rPr>
          <w:rFonts w:ascii="宋体" w:hAnsi="Courier New" w:cs="Courier New"/>
          <w:color w:val="auto"/>
          <w:szCs w:val="21"/>
          <w:highlight w:val="none"/>
        </w:rPr>
      </w:pPr>
      <w:r>
        <w:rPr>
          <w:rFonts w:ascii="宋体" w:hAnsi="Courier New" w:cs="Courier New"/>
          <w:color w:val="auto"/>
          <w:szCs w:val="21"/>
          <w:highlight w:val="none"/>
        </w:rPr>
        <w:t>3</w:t>
      </w:r>
      <w:r>
        <w:rPr>
          <w:rFonts w:hint="eastAsia" w:ascii="宋体" w:hAnsi="Courier New" w:cs="Courier New"/>
          <w:color w:val="auto"/>
          <w:szCs w:val="21"/>
          <w:highlight w:val="none"/>
        </w:rPr>
        <w:t>、</w:t>
      </w:r>
      <w:r>
        <w:rPr>
          <w:rFonts w:ascii="宋体" w:hAnsi="Courier New" w:cs="Courier New"/>
          <w:color w:val="auto"/>
          <w:szCs w:val="21"/>
          <w:highlight w:val="none"/>
        </w:rPr>
        <w:t>由于</w:t>
      </w:r>
      <w:r>
        <w:rPr>
          <w:rFonts w:hint="eastAsia" w:ascii="宋体" w:hAnsi="Courier New" w:cs="Courier New"/>
          <w:color w:val="auto"/>
          <w:szCs w:val="21"/>
          <w:highlight w:val="none"/>
        </w:rPr>
        <w:t>乙方</w:t>
      </w:r>
      <w:r>
        <w:rPr>
          <w:rFonts w:ascii="宋体" w:hAnsi="Courier New" w:cs="Courier New"/>
          <w:color w:val="auto"/>
          <w:szCs w:val="21"/>
          <w:highlight w:val="none"/>
        </w:rPr>
        <w:t>自身原因，</w:t>
      </w:r>
      <w:r>
        <w:rPr>
          <w:rFonts w:hint="eastAsia" w:ascii="宋体" w:hAnsi="Courier New" w:cs="Courier New"/>
          <w:color w:val="auto"/>
          <w:szCs w:val="21"/>
          <w:highlight w:val="none"/>
        </w:rPr>
        <w:t>未能在本合同规定的时间内向甲方提交项目报告的，每延期一天，</w:t>
      </w:r>
      <w:r>
        <w:rPr>
          <w:rFonts w:ascii="宋体" w:hAnsi="Courier New" w:cs="Courier New"/>
          <w:color w:val="auto"/>
          <w:szCs w:val="21"/>
          <w:highlight w:val="none"/>
        </w:rPr>
        <w:t>应减收该项目</w:t>
      </w:r>
      <w:r>
        <w:rPr>
          <w:rFonts w:hint="eastAsia" w:ascii="宋体" w:hAnsi="Courier New" w:cs="Courier New"/>
          <w:color w:val="auto"/>
          <w:szCs w:val="21"/>
          <w:highlight w:val="none"/>
        </w:rPr>
        <w:t>设计费的千分之二。逾期超过30天以上时，甲方有权终止合同，并书面通知乙方，同时有权要求乙方支付合同款30%的违约金，并不予支付任何费用。</w:t>
      </w:r>
    </w:p>
    <w:p>
      <w:pPr>
        <w:spacing w:line="400" w:lineRule="exact"/>
        <w:ind w:firstLine="420" w:firstLineChars="200"/>
        <w:rPr>
          <w:rFonts w:ascii="宋体" w:hAnsi="Courier New" w:cs="Courier New"/>
          <w:color w:val="auto"/>
          <w:szCs w:val="21"/>
          <w:highlight w:val="none"/>
        </w:rPr>
      </w:pPr>
      <w:r>
        <w:rPr>
          <w:rFonts w:ascii="宋体" w:hAnsi="Courier New" w:cs="Courier New"/>
          <w:color w:val="auto"/>
          <w:szCs w:val="21"/>
          <w:highlight w:val="none"/>
        </w:rPr>
        <w:t>4</w:t>
      </w:r>
      <w:r>
        <w:rPr>
          <w:rFonts w:hint="eastAsia" w:ascii="宋体" w:hAnsi="Courier New" w:cs="Courier New"/>
          <w:color w:val="auto"/>
          <w:szCs w:val="21"/>
          <w:highlight w:val="none"/>
        </w:rPr>
        <w:t>、在工程施工过程中，若因本次招标设计原因造成工程施工结算价高于施工合同中标价10%以上的，根据违约责任扣减责任单位的费用，超出的投资不作为计取其它费用的基数。</w:t>
      </w:r>
    </w:p>
    <w:p>
      <w:pPr>
        <w:spacing w:line="400" w:lineRule="exact"/>
        <w:ind w:firstLine="420" w:firstLineChars="200"/>
        <w:rPr>
          <w:rFonts w:ascii="宋体" w:hAnsi="Courier New" w:cs="Courier New"/>
          <w:color w:val="auto"/>
          <w:szCs w:val="21"/>
          <w:highlight w:val="none"/>
        </w:rPr>
      </w:pPr>
      <w:r>
        <w:rPr>
          <w:rFonts w:ascii="宋体" w:hAnsi="Courier New" w:cs="Courier New"/>
          <w:color w:val="auto"/>
          <w:szCs w:val="21"/>
          <w:highlight w:val="none"/>
        </w:rPr>
        <w:t>5</w:t>
      </w:r>
      <w:r>
        <w:rPr>
          <w:rFonts w:hint="eastAsia" w:ascii="宋体" w:hAnsi="Courier New" w:cs="Courier New"/>
          <w:color w:val="auto"/>
          <w:szCs w:val="21"/>
          <w:highlight w:val="none"/>
        </w:rPr>
        <w:t>、合同生效后，乙方要求终止或解除合同，乙方应向甲方支付合同款30%的违约金，并返还甲方已支付的费用。</w:t>
      </w:r>
    </w:p>
    <w:p>
      <w:pPr>
        <w:spacing w:line="400" w:lineRule="exact"/>
        <w:ind w:firstLine="420" w:firstLineChars="200"/>
        <w:rPr>
          <w:rFonts w:ascii="宋体" w:hAnsi="Courier New" w:cs="Courier New"/>
          <w:color w:val="auto"/>
          <w:szCs w:val="21"/>
          <w:highlight w:val="none"/>
        </w:rPr>
      </w:pPr>
      <w:r>
        <w:rPr>
          <w:rFonts w:ascii="宋体" w:hAnsi="Courier New" w:cs="Courier New"/>
          <w:color w:val="auto"/>
          <w:szCs w:val="21"/>
          <w:highlight w:val="none"/>
        </w:rPr>
        <w:t>6</w:t>
      </w:r>
      <w:r>
        <w:rPr>
          <w:rFonts w:hint="eastAsia" w:ascii="宋体" w:hAnsi="Courier New" w:cs="Courier New"/>
          <w:color w:val="auto"/>
          <w:szCs w:val="21"/>
          <w:highlight w:val="none"/>
        </w:rPr>
        <w:t>、乙方擅自将设计工作转包给第三方的，甲方有权解除合同，同时有权要求乙方支付合同款30％的违约金，并不予支付任何费用。</w:t>
      </w:r>
    </w:p>
    <w:p>
      <w:pPr>
        <w:spacing w:line="360" w:lineRule="exact"/>
        <w:rPr>
          <w:rFonts w:ascii="Times New Roman" w:hAnsi="Times New Roman"/>
          <w:b/>
          <w:color w:val="auto"/>
          <w:highlight w:val="none"/>
        </w:rPr>
      </w:pPr>
      <w:r>
        <w:rPr>
          <w:rFonts w:hint="eastAsia" w:ascii="Times New Roman" w:hAnsi="Times New Roman"/>
          <w:b/>
          <w:color w:val="auto"/>
          <w:highlight w:val="none"/>
        </w:rPr>
        <w:t xml:space="preserve">    第十三条  不可抗力事件处理</w:t>
      </w:r>
    </w:p>
    <w:p>
      <w:pPr>
        <w:spacing w:line="360" w:lineRule="exact"/>
        <w:rPr>
          <w:rFonts w:ascii="Times New Roman" w:hAnsi="Times New Roman"/>
          <w:color w:val="auto"/>
          <w:highlight w:val="none"/>
        </w:rPr>
      </w:pPr>
      <w:r>
        <w:rPr>
          <w:rFonts w:hint="eastAsia" w:ascii="Times New Roman" w:hAnsi="Times New Roman"/>
          <w:color w:val="auto"/>
          <w:highlight w:val="none"/>
        </w:rPr>
        <w:t xml:space="preserve">    1、在合同有效期内，任何一方因不可抗力事件导致不能履行合同，则合同履行期可延长，其延长期与不可抗力影响期相同。</w:t>
      </w:r>
    </w:p>
    <w:p>
      <w:pPr>
        <w:spacing w:line="360" w:lineRule="exact"/>
        <w:ind w:firstLine="435"/>
        <w:rPr>
          <w:rFonts w:ascii="Times New Roman" w:hAnsi="Times New Roman"/>
          <w:color w:val="auto"/>
          <w:highlight w:val="none"/>
        </w:rPr>
      </w:pPr>
      <w:r>
        <w:rPr>
          <w:rFonts w:hint="eastAsia" w:ascii="Times New Roman" w:hAnsi="Times New Roman"/>
          <w:color w:val="auto"/>
          <w:highlight w:val="none"/>
        </w:rPr>
        <w:t>2、不可抗力事件发生后，应立即通知对方，并寄送有关权威机构出具的证明。</w:t>
      </w:r>
    </w:p>
    <w:p>
      <w:pPr>
        <w:spacing w:line="360" w:lineRule="exact"/>
        <w:ind w:firstLine="435"/>
        <w:rPr>
          <w:rFonts w:ascii="Times New Roman" w:hAnsi="Times New Roman"/>
          <w:color w:val="auto"/>
          <w:highlight w:val="none"/>
        </w:rPr>
      </w:pPr>
      <w:r>
        <w:rPr>
          <w:rFonts w:hint="eastAsia" w:ascii="Times New Roman" w:hAnsi="Times New Roman"/>
          <w:color w:val="auto"/>
          <w:highlight w:val="none"/>
        </w:rPr>
        <w:t>3、不可抗力事件延续一百二十天以上，双方应通过友好协商，确定是否继续履行合同。</w:t>
      </w:r>
    </w:p>
    <w:p>
      <w:pPr>
        <w:spacing w:line="360" w:lineRule="exact"/>
        <w:rPr>
          <w:rFonts w:ascii="Times New Roman" w:hAnsi="Times New Roman"/>
          <w:b/>
          <w:color w:val="auto"/>
          <w:highlight w:val="none"/>
        </w:rPr>
      </w:pPr>
      <w:r>
        <w:rPr>
          <w:rFonts w:hint="eastAsia" w:ascii="Times New Roman" w:hAnsi="Times New Roman"/>
          <w:b/>
          <w:color w:val="auto"/>
          <w:highlight w:val="none"/>
        </w:rPr>
        <w:t xml:space="preserve">    第十四条  合同争议解决</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1、因服务质量问题发生争议的，应邀请国家认可的质量检测机构对服务质量进行鉴定。服务质量符合标准的，鉴定费由甲方承担；服务质量不符合标准的，鉴定费由乙方承担。</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2、因履行本合同引起的或与本合同有关的争议，甲乙双方应首先通过友好协商解决，如果协商不能解决，向甲方所在地人民法院提起诉讼。</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3、诉讼期间，本合同继续履行。</w:t>
      </w:r>
    </w:p>
    <w:p>
      <w:pPr>
        <w:snapToGrid w:val="0"/>
        <w:spacing w:line="360" w:lineRule="exact"/>
        <w:ind w:firstLine="422" w:firstLineChars="200"/>
        <w:rPr>
          <w:rFonts w:ascii="Times New Roman" w:hAnsi="宋体"/>
          <w:b/>
          <w:color w:val="auto"/>
          <w:highlight w:val="none"/>
        </w:rPr>
      </w:pPr>
      <w:r>
        <w:rPr>
          <w:rFonts w:hint="eastAsia" w:ascii="Times New Roman" w:hAnsi="宋体"/>
          <w:b/>
          <w:color w:val="auto"/>
          <w:highlight w:val="none"/>
        </w:rPr>
        <w:t>第十五条  诉讼</w:t>
      </w:r>
    </w:p>
    <w:p>
      <w:pPr>
        <w:snapToGrid w:val="0"/>
        <w:spacing w:line="360" w:lineRule="exact"/>
        <w:ind w:firstLine="420" w:firstLineChars="200"/>
        <w:rPr>
          <w:rFonts w:ascii="Times New Roman" w:hAnsi="宋体"/>
          <w:color w:val="auto"/>
          <w:highlight w:val="none"/>
        </w:rPr>
      </w:pPr>
      <w:r>
        <w:rPr>
          <w:rFonts w:hint="eastAsia" w:ascii="Times New Roman" w:hAnsi="宋体"/>
          <w:color w:val="auto"/>
          <w:highlight w:val="none"/>
        </w:rPr>
        <w:t>双方在执行合同中所发生的一切争议，应通过协商解决。如果协商不能解决，可甲方所在地人民法院提起诉讼。</w:t>
      </w:r>
    </w:p>
    <w:p>
      <w:pPr>
        <w:snapToGrid w:val="0"/>
        <w:spacing w:line="360" w:lineRule="exact"/>
        <w:ind w:firstLine="422" w:firstLineChars="200"/>
        <w:rPr>
          <w:rFonts w:ascii="Times New Roman" w:hAnsi="宋体"/>
          <w:b/>
          <w:color w:val="auto"/>
          <w:highlight w:val="none"/>
        </w:rPr>
      </w:pPr>
      <w:r>
        <w:rPr>
          <w:rFonts w:hint="eastAsia" w:ascii="Times New Roman" w:hAnsi="宋体"/>
          <w:b/>
          <w:color w:val="auto"/>
          <w:highlight w:val="none"/>
        </w:rPr>
        <w:t>第十六条  合同生效及其它</w:t>
      </w:r>
    </w:p>
    <w:p>
      <w:pPr>
        <w:snapToGrid w:val="0"/>
        <w:spacing w:line="360" w:lineRule="exact"/>
        <w:ind w:firstLine="422" w:firstLineChars="200"/>
        <w:rPr>
          <w:rFonts w:ascii="Times New Roman" w:hAnsi="宋体"/>
          <w:b/>
          <w:color w:val="auto"/>
          <w:highlight w:val="none"/>
        </w:rPr>
      </w:pPr>
      <w:r>
        <w:rPr>
          <w:rFonts w:hint="eastAsia" w:ascii="Times New Roman" w:hAnsi="宋体"/>
          <w:b/>
          <w:color w:val="auto"/>
          <w:highlight w:val="none"/>
        </w:rPr>
        <w:t>1、合同经双方法定代表人（负责人）或授权代表签字并加盖单位公章后生效。</w:t>
      </w:r>
    </w:p>
    <w:p>
      <w:pPr>
        <w:snapToGrid w:val="0"/>
        <w:spacing w:line="360" w:lineRule="exact"/>
        <w:ind w:firstLine="422" w:firstLineChars="200"/>
        <w:rPr>
          <w:rFonts w:ascii="Times New Roman" w:hAnsi="宋体"/>
          <w:b/>
          <w:color w:val="auto"/>
          <w:highlight w:val="none"/>
        </w:rPr>
      </w:pPr>
      <w:r>
        <w:rPr>
          <w:rFonts w:hint="eastAsia" w:ascii="Times New Roman" w:hAnsi="宋体"/>
          <w:b/>
          <w:color w:val="auto"/>
          <w:highlight w:val="none"/>
        </w:rPr>
        <w:t>2、合同执行中涉及采购资金和采购内容修改或补充的，须经财政部门审批，并签书面补充协议报财政部门备案，方可作为主合同不可分割的一部分。</w:t>
      </w:r>
    </w:p>
    <w:p>
      <w:pPr>
        <w:snapToGrid w:val="0"/>
        <w:spacing w:line="360" w:lineRule="exact"/>
        <w:ind w:firstLine="422" w:firstLineChars="200"/>
        <w:rPr>
          <w:rFonts w:ascii="Times New Roman" w:hAnsi="宋体"/>
          <w:b/>
          <w:color w:val="auto"/>
          <w:highlight w:val="none"/>
        </w:rPr>
      </w:pPr>
      <w:r>
        <w:rPr>
          <w:rFonts w:hint="eastAsia" w:ascii="Times New Roman" w:hAnsi="宋体"/>
          <w:b/>
          <w:color w:val="auto"/>
          <w:highlight w:val="none"/>
        </w:rPr>
        <w:t>3、本合同未尽事宜，遵照《合同法》有关条文执行。</w:t>
      </w:r>
    </w:p>
    <w:p>
      <w:p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第十七条　合同的变更、终止与转让</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pPr>
        <w:snapToGrid w:val="0"/>
        <w:spacing w:line="360" w:lineRule="exact"/>
        <w:ind w:firstLine="420" w:firstLineChars="200"/>
        <w:rPr>
          <w:rFonts w:ascii="Times New Roman" w:hAnsi="宋体"/>
          <w:color w:val="auto"/>
          <w:highlight w:val="none"/>
        </w:rPr>
      </w:pPr>
      <w:r>
        <w:rPr>
          <w:rFonts w:hint="eastAsia" w:ascii="宋体" w:hAnsi="宋体"/>
          <w:color w:val="auto"/>
          <w:szCs w:val="21"/>
          <w:highlight w:val="none"/>
        </w:rPr>
        <w:t>2、乙</w:t>
      </w:r>
      <w:r>
        <w:rPr>
          <w:rFonts w:hint="eastAsia" w:ascii="Times New Roman" w:hAnsi="宋体"/>
          <w:color w:val="auto"/>
          <w:highlight w:val="none"/>
        </w:rPr>
        <w:t>方不得擅自转让其应履行的合同义务。</w:t>
      </w:r>
    </w:p>
    <w:p>
      <w:pPr>
        <w:snapToGrid w:val="0"/>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第十八条　签订本合同依据</w:t>
      </w:r>
    </w:p>
    <w:p>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、竞争性磋商文件；</w:t>
      </w:r>
    </w:p>
    <w:p>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、乙方提供的响应文件；</w:t>
      </w:r>
    </w:p>
    <w:p>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、磋商声明书；</w:t>
      </w:r>
    </w:p>
    <w:p>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、成交通知书。</w:t>
      </w:r>
    </w:p>
    <w:p>
      <w:pPr>
        <w:snapToGrid w:val="0"/>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第十九条　</w:t>
      </w:r>
      <w:r>
        <w:rPr>
          <w:rFonts w:hint="eastAsia" w:ascii="宋体" w:hAnsi="宋体"/>
          <w:color w:val="auto"/>
          <w:szCs w:val="21"/>
          <w:highlight w:val="none"/>
        </w:rPr>
        <w:t>本合同一式四份，具有同等法律效力，</w:t>
      </w:r>
      <w:r>
        <w:rPr>
          <w:rFonts w:hint="eastAsia" w:ascii="宋体" w:hAnsi="宋体"/>
          <w:color w:val="auto"/>
          <w:spacing w:val="4"/>
          <w:szCs w:val="21"/>
          <w:highlight w:val="none"/>
        </w:rPr>
        <w:t>采购代理机构</w:t>
      </w:r>
      <w:r>
        <w:rPr>
          <w:rFonts w:hint="eastAsia" w:ascii="宋体" w:hAnsi="宋体"/>
          <w:color w:val="auto"/>
          <w:szCs w:val="21"/>
          <w:highlight w:val="none"/>
        </w:rPr>
        <w:t>各一份，甲方二份，乙方一份。</w:t>
      </w:r>
    </w:p>
    <w:p>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甲方（章）           </w:t>
            </w:r>
          </w:p>
          <w:p>
            <w:pPr>
              <w:snapToGrid w:val="0"/>
              <w:spacing w:line="360" w:lineRule="exact"/>
              <w:rPr>
                <w:rFonts w:ascii="宋体" w:hAnsi="宋体"/>
                <w:color w:val="auto"/>
                <w:szCs w:val="21"/>
                <w:highlight w:val="none"/>
              </w:rPr>
            </w:pPr>
          </w:p>
          <w:p>
            <w:pPr>
              <w:snapToGrid w:val="0"/>
              <w:spacing w:line="360" w:lineRule="exact"/>
              <w:ind w:firstLine="945" w:firstLineChars="450"/>
              <w:rPr>
                <w:rFonts w:ascii="宋体" w:hAnsi="宋体"/>
                <w:color w:val="auto"/>
                <w:szCs w:val="21"/>
                <w:highlight w:val="none"/>
              </w:rPr>
            </w:pPr>
            <w:r>
              <w:rPr>
                <w:rFonts w:hint="eastAsia" w:ascii="宋体" w:hAnsi="宋体"/>
                <w:color w:val="auto"/>
                <w:szCs w:val="21"/>
                <w:highlight w:val="none"/>
              </w:rPr>
              <w:t xml:space="preserve">                 年   月   日</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乙方（章）              </w:t>
            </w:r>
          </w:p>
          <w:p>
            <w:pPr>
              <w:snapToGrid w:val="0"/>
              <w:spacing w:line="360" w:lineRule="exact"/>
              <w:rPr>
                <w:rFonts w:ascii="宋体" w:hAnsi="宋体"/>
                <w:color w:val="auto"/>
                <w:szCs w:val="21"/>
                <w:highlight w:val="none"/>
              </w:rPr>
            </w:pPr>
          </w:p>
          <w:p>
            <w:pPr>
              <w:snapToGrid w:val="0"/>
              <w:spacing w:line="360" w:lineRule="exact"/>
              <w:rPr>
                <w:rFonts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单位地址：</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法定代表人(负责人)：</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568"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c>
          <w:tcPr>
            <w:tcW w:w="4826" w:type="dxa"/>
          </w:tcPr>
          <w:p>
            <w:pPr>
              <w:snapToGrid w:val="0"/>
              <w:spacing w:line="360" w:lineRule="exact"/>
              <w:rPr>
                <w:rFonts w:ascii="宋体" w:hAnsi="宋体"/>
                <w:color w:val="auto"/>
                <w:szCs w:val="21"/>
                <w:highlight w:val="none"/>
              </w:rPr>
            </w:pPr>
            <w:r>
              <w:rPr>
                <w:rFonts w:hint="eastAsia" w:ascii="宋体" w:hAnsi="宋体"/>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394" w:type="dxa"/>
            <w:gridSpan w:val="2"/>
          </w:tcPr>
          <w:p>
            <w:pPr>
              <w:snapToGrid w:val="0"/>
              <w:spacing w:line="360" w:lineRule="exact"/>
              <w:rPr>
                <w:rFonts w:ascii="宋体" w:hAnsi="宋体"/>
                <w:color w:val="auto"/>
                <w:szCs w:val="21"/>
                <w:highlight w:val="none"/>
              </w:rPr>
            </w:pPr>
            <w:r>
              <w:rPr>
                <w:rFonts w:hint="eastAsia" w:ascii="宋体" w:hAnsi="宋体"/>
                <w:color w:val="auto"/>
                <w:szCs w:val="21"/>
                <w:highlight w:val="none"/>
              </w:rPr>
              <w:t>经办人：</w:t>
            </w:r>
          </w:p>
          <w:p>
            <w:pPr>
              <w:snapToGrid w:val="0"/>
              <w:spacing w:line="360" w:lineRule="exact"/>
              <w:ind w:firstLine="630" w:firstLineChars="300"/>
              <w:jc w:val="right"/>
              <w:rPr>
                <w:rFonts w:ascii="宋体" w:hAnsi="宋体"/>
                <w:color w:val="auto"/>
                <w:szCs w:val="21"/>
                <w:highlight w:val="none"/>
              </w:rPr>
            </w:pPr>
            <w:r>
              <w:rPr>
                <w:rFonts w:hint="eastAsia" w:ascii="宋体" w:hAnsi="宋体"/>
                <w:color w:val="auto"/>
                <w:szCs w:val="21"/>
                <w:highlight w:val="none"/>
              </w:rPr>
              <w:t>年    月    日</w:t>
            </w:r>
          </w:p>
        </w:tc>
      </w:tr>
    </w:tbl>
    <w:p>
      <w:pPr>
        <w:widowControl/>
        <w:ind w:firstLine="210" w:firstLineChars="100"/>
        <w:jc w:val="left"/>
        <w:rPr>
          <w:rFonts w:ascii="宋体" w:hAnsi="宋体" w:cs="宋体"/>
          <w:color w:val="auto"/>
          <w:kern w:val="0"/>
          <w:szCs w:val="21"/>
          <w:highlight w:val="none"/>
        </w:rPr>
      </w:pPr>
    </w:p>
    <w:p>
      <w:pPr>
        <w:snapToGrid w:val="0"/>
        <w:spacing w:line="370" w:lineRule="exact"/>
        <w:ind w:firstLine="315" w:firstLineChars="150"/>
        <w:outlineLvl w:val="1"/>
        <w:rPr>
          <w:rFonts w:ascii="宋体" w:hAnsi="宋体" w:cs="宋体"/>
          <w:color w:val="auto"/>
          <w:szCs w:val="20"/>
          <w:highlight w:val="none"/>
        </w:rPr>
      </w:pPr>
      <w:r>
        <w:rPr>
          <w:rFonts w:hint="eastAsia" w:ascii="宋体" w:hAnsi="宋体" w:cs="宋体"/>
          <w:color w:val="auto"/>
          <w:kern w:val="0"/>
          <w:szCs w:val="21"/>
          <w:highlight w:val="none"/>
        </w:rPr>
        <w:br w:type="page"/>
      </w:r>
      <w:r>
        <w:rPr>
          <w:rFonts w:hint="eastAsia" w:ascii="宋体" w:hAnsi="宋体" w:cs="宋体"/>
          <w:color w:val="auto"/>
          <w:szCs w:val="20"/>
          <w:highlight w:val="none"/>
        </w:rPr>
        <w:t xml:space="preserve"> </w:t>
      </w: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spacing w:line="400" w:lineRule="exact"/>
        <w:jc w:val="center"/>
        <w:rPr>
          <w:rFonts w:ascii="宋体" w:hAnsi="宋体" w:cs="宋体"/>
          <w:color w:val="auto"/>
          <w:sz w:val="32"/>
          <w:szCs w:val="32"/>
          <w:highlight w:val="none"/>
        </w:rPr>
      </w:pPr>
    </w:p>
    <w:p>
      <w:pPr>
        <w:pStyle w:val="36"/>
        <w:rPr>
          <w:rFonts w:ascii="宋体" w:hAnsi="宋体" w:cs="宋体"/>
          <w:color w:val="auto"/>
          <w:kern w:val="0"/>
          <w:sz w:val="44"/>
          <w:szCs w:val="44"/>
          <w:highlight w:val="none"/>
        </w:rPr>
      </w:pPr>
      <w:bookmarkStart w:id="91" w:name="_Toc476258761"/>
      <w:bookmarkStart w:id="92" w:name="_Toc476258673"/>
      <w:r>
        <w:rPr>
          <w:rFonts w:hint="eastAsia" w:ascii="宋体" w:hAnsi="宋体" w:cs="宋体"/>
          <w:color w:val="auto"/>
          <w:kern w:val="0"/>
          <w:sz w:val="44"/>
          <w:szCs w:val="44"/>
          <w:highlight w:val="none"/>
        </w:rPr>
        <w:t>第六章  评标标准</w:t>
      </w:r>
      <w:bookmarkEnd w:id="91"/>
      <w:bookmarkEnd w:id="92"/>
    </w:p>
    <w:p>
      <w:pPr>
        <w:pStyle w:val="22"/>
        <w:spacing w:line="440" w:lineRule="exact"/>
        <w:rPr>
          <w:rFonts w:hAnsi="宋体" w:cs="宋体"/>
          <w:b/>
          <w:color w:val="auto"/>
          <w:kern w:val="0"/>
          <w:sz w:val="32"/>
          <w:szCs w:val="32"/>
          <w:highlight w:val="none"/>
        </w:rPr>
      </w:pPr>
    </w:p>
    <w:p>
      <w:pPr>
        <w:pStyle w:val="22"/>
        <w:spacing w:line="440" w:lineRule="exact"/>
        <w:rPr>
          <w:rFonts w:hAnsi="宋体" w:cs="宋体"/>
          <w:b/>
          <w:color w:val="auto"/>
          <w:kern w:val="0"/>
          <w:sz w:val="32"/>
          <w:szCs w:val="32"/>
          <w:highlight w:val="none"/>
        </w:rPr>
      </w:pPr>
    </w:p>
    <w:p>
      <w:pPr>
        <w:pStyle w:val="22"/>
        <w:spacing w:line="440" w:lineRule="exact"/>
        <w:rPr>
          <w:rFonts w:hAnsi="宋体" w:cs="宋体"/>
          <w:b/>
          <w:color w:val="auto"/>
          <w:kern w:val="0"/>
          <w:sz w:val="32"/>
          <w:szCs w:val="32"/>
          <w:highlight w:val="none"/>
        </w:rPr>
      </w:pPr>
    </w:p>
    <w:p>
      <w:pPr>
        <w:pStyle w:val="22"/>
        <w:spacing w:line="440" w:lineRule="exact"/>
        <w:rPr>
          <w:rFonts w:hAnsi="宋体" w:cs="宋体"/>
          <w:b/>
          <w:color w:val="auto"/>
          <w:kern w:val="0"/>
          <w:highlight w:val="none"/>
        </w:rPr>
      </w:pPr>
    </w:p>
    <w:p>
      <w:pPr>
        <w:pStyle w:val="22"/>
        <w:jc w:val="center"/>
        <w:rPr>
          <w:rFonts w:hAnsi="宋体" w:cs="宋体"/>
          <w:b/>
          <w:color w:val="auto"/>
          <w:kern w:val="0"/>
          <w:sz w:val="32"/>
          <w:szCs w:val="32"/>
          <w:highlight w:val="none"/>
        </w:rPr>
      </w:pPr>
      <w:r>
        <w:rPr>
          <w:rFonts w:hint="eastAsia" w:hAnsi="宋体" w:cs="宋体"/>
          <w:b/>
          <w:color w:val="auto"/>
          <w:kern w:val="0"/>
          <w:sz w:val="32"/>
          <w:szCs w:val="32"/>
          <w:highlight w:val="none"/>
        </w:rPr>
        <w:br w:type="page"/>
      </w:r>
      <w:r>
        <w:rPr>
          <w:rFonts w:hint="eastAsia" w:hAnsi="宋体" w:cs="宋体"/>
          <w:b/>
          <w:color w:val="auto"/>
          <w:kern w:val="0"/>
          <w:sz w:val="32"/>
          <w:szCs w:val="32"/>
          <w:highlight w:val="none"/>
        </w:rPr>
        <w:t>评标标准</w:t>
      </w:r>
    </w:p>
    <w:p>
      <w:pPr>
        <w:pStyle w:val="32"/>
        <w:spacing w:line="360" w:lineRule="exact"/>
        <w:ind w:left="0"/>
        <w:jc w:val="center"/>
        <w:rPr>
          <w:rFonts w:ascii="宋体" w:hAnsi="宋体" w:cs="宋体"/>
          <w:b/>
          <w:bCs/>
          <w:color w:val="auto"/>
          <w:szCs w:val="21"/>
          <w:highlight w:val="none"/>
        </w:rPr>
      </w:pPr>
      <w:r>
        <w:rPr>
          <w:rFonts w:hint="eastAsia" w:ascii="宋体" w:hAnsi="宋体" w:cs="宋体"/>
          <w:b/>
          <w:bCs/>
          <w:color w:val="auto"/>
          <w:szCs w:val="21"/>
          <w:highlight w:val="none"/>
        </w:rPr>
        <w:t xml:space="preserve"> </w:t>
      </w:r>
    </w:p>
    <w:p>
      <w:pPr>
        <w:tabs>
          <w:tab w:val="right" w:leader="dot" w:pos="9185"/>
        </w:tabs>
        <w:adjustRightInd w:val="0"/>
        <w:spacing w:line="400" w:lineRule="atLeast"/>
        <w:textAlignment w:val="baseline"/>
        <w:rPr>
          <w:rFonts w:ascii="Times New Roman" w:hAnsi="Times New Roman"/>
          <w:b/>
          <w:bCs/>
          <w:color w:val="auto"/>
          <w:kern w:val="0"/>
          <w:szCs w:val="21"/>
          <w:highlight w:val="none"/>
        </w:rPr>
      </w:pPr>
      <w:r>
        <w:rPr>
          <w:rFonts w:hint="eastAsia" w:ascii="Times New Roman" w:hAnsi="Times New Roman"/>
          <w:b/>
          <w:bCs/>
          <w:color w:val="auto"/>
          <w:kern w:val="0"/>
          <w:szCs w:val="21"/>
          <w:highlight w:val="none"/>
        </w:rPr>
        <w:t>一、评标原则</w:t>
      </w:r>
    </w:p>
    <w:p>
      <w:pPr>
        <w:tabs>
          <w:tab w:val="right" w:leader="dot" w:pos="9185"/>
        </w:tabs>
        <w:adjustRightInd w:val="0"/>
        <w:spacing w:line="400" w:lineRule="atLeast"/>
        <w:textAlignment w:val="baseline"/>
        <w:rPr>
          <w:rFonts w:ascii="Times New Roman" w:hAnsi="Times New Roman"/>
          <w:bCs/>
          <w:color w:val="auto"/>
          <w:kern w:val="0"/>
          <w:szCs w:val="21"/>
          <w:highlight w:val="none"/>
        </w:rPr>
      </w:pPr>
      <w:r>
        <w:rPr>
          <w:rFonts w:hint="eastAsia" w:ascii="Times New Roman" w:hAnsi="Times New Roman"/>
          <w:bCs/>
          <w:color w:val="auto"/>
          <w:kern w:val="0"/>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pPr>
        <w:tabs>
          <w:tab w:val="right" w:leader="dot" w:pos="9185"/>
        </w:tabs>
        <w:adjustRightInd w:val="0"/>
        <w:spacing w:line="400" w:lineRule="atLeast"/>
        <w:textAlignment w:val="baseline"/>
        <w:rPr>
          <w:rFonts w:ascii="Times New Roman" w:hAnsi="Times New Roman"/>
          <w:b/>
          <w:bCs/>
          <w:color w:val="auto"/>
          <w:kern w:val="0"/>
          <w:szCs w:val="21"/>
          <w:highlight w:val="none"/>
        </w:rPr>
      </w:pPr>
      <w:r>
        <w:rPr>
          <w:rFonts w:hint="eastAsia" w:ascii="Times New Roman" w:hAnsi="Times New Roman"/>
          <w:bCs/>
          <w:color w:val="auto"/>
          <w:kern w:val="0"/>
          <w:szCs w:val="21"/>
          <w:highlight w:val="none"/>
        </w:rPr>
        <w:t xml:space="preserve">    （二）评标依据：评委将以竞争性磋商文件和竞争性磋商响应文件为评标依据，对供应商的报价、项目服务实施方案、售后服务承诺、业绩、信誉等内容按百分制打分。</w:t>
      </w:r>
    </w:p>
    <w:p>
      <w:pPr>
        <w:tabs>
          <w:tab w:val="right" w:leader="dot" w:pos="9185"/>
        </w:tabs>
        <w:adjustRightInd w:val="0"/>
        <w:spacing w:line="400" w:lineRule="atLeast"/>
        <w:ind w:firstLine="420" w:firstLineChars="200"/>
        <w:textAlignment w:val="baseline"/>
        <w:rPr>
          <w:rFonts w:ascii="Times New Roman" w:hAnsi="Times New Roman"/>
          <w:bCs/>
          <w:color w:val="auto"/>
          <w:kern w:val="0"/>
          <w:szCs w:val="21"/>
          <w:highlight w:val="none"/>
        </w:rPr>
      </w:pPr>
      <w:r>
        <w:rPr>
          <w:rFonts w:hint="eastAsia" w:ascii="Times New Roman" w:hAnsi="Times New Roman"/>
          <w:bCs/>
          <w:color w:val="auto"/>
          <w:kern w:val="0"/>
          <w:szCs w:val="21"/>
          <w:highlight w:val="none"/>
        </w:rPr>
        <w:t>（三）评标方式：以封闭方式进行。</w:t>
      </w:r>
    </w:p>
    <w:p>
      <w:pPr>
        <w:tabs>
          <w:tab w:val="right" w:leader="dot" w:pos="9185"/>
        </w:tabs>
        <w:adjustRightInd w:val="0"/>
        <w:spacing w:line="400" w:lineRule="atLeast"/>
        <w:textAlignment w:val="baseline"/>
        <w:rPr>
          <w:rFonts w:ascii="Times New Roman" w:hAnsi="Times New Roman"/>
          <w:b/>
          <w:bCs/>
          <w:color w:val="auto"/>
          <w:kern w:val="0"/>
          <w:szCs w:val="21"/>
          <w:highlight w:val="none"/>
        </w:rPr>
      </w:pPr>
      <w:r>
        <w:rPr>
          <w:rFonts w:hint="eastAsia" w:ascii="Times New Roman" w:hAnsi="Times New Roman"/>
          <w:b/>
          <w:bCs/>
          <w:color w:val="auto"/>
          <w:kern w:val="0"/>
          <w:szCs w:val="21"/>
          <w:highlight w:val="none"/>
        </w:rPr>
        <w:t>二、评标方法</w:t>
      </w:r>
    </w:p>
    <w:p>
      <w:pPr>
        <w:tabs>
          <w:tab w:val="right" w:leader="dot" w:pos="9185"/>
        </w:tabs>
        <w:adjustRightInd w:val="0"/>
        <w:spacing w:line="400" w:lineRule="atLeast"/>
        <w:textAlignment w:val="baseline"/>
        <w:rPr>
          <w:rFonts w:ascii="Times New Roman" w:hAnsi="Times New Roman"/>
          <w:bCs/>
          <w:color w:val="auto"/>
          <w:kern w:val="0"/>
          <w:szCs w:val="21"/>
          <w:highlight w:val="none"/>
        </w:rPr>
      </w:pPr>
      <w:r>
        <w:rPr>
          <w:rFonts w:hint="eastAsia" w:ascii="Times New Roman" w:hAnsi="Times New Roman"/>
          <w:bCs/>
          <w:color w:val="auto"/>
          <w:kern w:val="0"/>
          <w:szCs w:val="21"/>
          <w:highlight w:val="none"/>
        </w:rPr>
        <w:t>（一）对进入详评的，采用百分制综合评分法。</w:t>
      </w:r>
    </w:p>
    <w:p>
      <w:pPr>
        <w:tabs>
          <w:tab w:val="right" w:leader="dot" w:pos="9185"/>
        </w:tabs>
        <w:adjustRightInd w:val="0"/>
        <w:spacing w:line="400" w:lineRule="atLeast"/>
        <w:textAlignment w:val="baseline"/>
        <w:rPr>
          <w:rFonts w:ascii="Times New Roman" w:hAnsi="Times New Roman"/>
          <w:bCs/>
          <w:color w:val="auto"/>
          <w:kern w:val="0"/>
          <w:szCs w:val="21"/>
          <w:highlight w:val="none"/>
        </w:rPr>
      </w:pPr>
      <w:r>
        <w:rPr>
          <w:rFonts w:hint="eastAsia" w:ascii="Times New Roman" w:hAnsi="Times New Roman"/>
          <w:bCs/>
          <w:color w:val="auto"/>
          <w:kern w:val="0"/>
          <w:szCs w:val="21"/>
          <w:highlight w:val="none"/>
        </w:rPr>
        <w:t>（二）计分办法（按四舍五入取至百分位）：</w:t>
      </w:r>
    </w:p>
    <w:p>
      <w:pPr>
        <w:spacing w:line="400" w:lineRule="atLeas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、价格分……………………………………………………………………………………2</w:t>
      </w:r>
      <w:r>
        <w:rPr>
          <w:rFonts w:ascii="宋体" w:hAnsi="宋体"/>
          <w:b/>
          <w:color w:val="auto"/>
          <w:szCs w:val="21"/>
          <w:highlight w:val="none"/>
        </w:rPr>
        <w:t>0</w:t>
      </w:r>
      <w:r>
        <w:rPr>
          <w:rFonts w:hint="eastAsia" w:ascii="宋体" w:hAnsi="宋体"/>
          <w:b/>
          <w:color w:val="auto"/>
          <w:szCs w:val="21"/>
          <w:highlight w:val="none"/>
        </w:rPr>
        <w:t>分</w:t>
      </w:r>
    </w:p>
    <w:p>
      <w:pPr>
        <w:pStyle w:val="22"/>
        <w:spacing w:line="400" w:lineRule="exact"/>
        <w:ind w:firstLine="420" w:firstLineChars="200"/>
        <w:rPr>
          <w:rFonts w:hAnsi="宋体" w:cs="宋体"/>
          <w:bCs/>
          <w:color w:val="auto"/>
          <w:kern w:val="0"/>
          <w:highlight w:val="none"/>
        </w:rPr>
      </w:pPr>
      <w:r>
        <w:rPr>
          <w:rFonts w:hint="eastAsia" w:hAnsi="宋体" w:cs="宋体"/>
          <w:bCs/>
          <w:color w:val="auto"/>
          <w:kern w:val="0"/>
          <w:highlight w:val="none"/>
        </w:rPr>
        <w:t>（1）按照《政府采购促进中小企业发展管理办法》（财库〔2020〕46号）</w:t>
      </w:r>
      <w:r>
        <w:rPr>
          <w:rFonts w:hint="eastAsia" w:hAnsi="宋体" w:cs="宋体"/>
          <w:color w:val="auto"/>
          <w:highlight w:val="none"/>
        </w:rPr>
        <w:t>规定，服务由小微企业承接的</w:t>
      </w:r>
      <w:r>
        <w:rPr>
          <w:rFonts w:hint="eastAsia" w:hAnsi="宋体" w:cs="宋体"/>
          <w:bCs/>
          <w:color w:val="auto"/>
          <w:kern w:val="0"/>
          <w:highlight w:val="none"/>
        </w:rPr>
        <w:t>（以响应文件中提供的符合该办法规定格式的《中小企业声明函》为准），对最后报价给予10%的扣除，扣除后的价格为评标报价，即评标报价=最后报价×（1-10%）；大中型企业与小微企业组成联合体或者大中型企业向一家或者多家小微企业分包，且联合协议或者分包意向协议约定小微企业的合同份额占到合同总金额30%以上的，对联合体或者大中型企业的最后报价给予4%的扣除，扣除后的价格为评标报价，即评标报价=最后报价×（1-4%）；除上述情况外，评标报价=最后报价。</w:t>
      </w:r>
    </w:p>
    <w:p>
      <w:pPr>
        <w:pStyle w:val="22"/>
        <w:spacing w:line="400" w:lineRule="exact"/>
        <w:ind w:firstLine="420" w:firstLineChars="200"/>
        <w:rPr>
          <w:rFonts w:hAnsi="宋体" w:cs="宋体"/>
          <w:bCs/>
          <w:color w:val="auto"/>
          <w:kern w:val="0"/>
          <w:highlight w:val="none"/>
        </w:rPr>
      </w:pPr>
      <w:r>
        <w:rPr>
          <w:rFonts w:hint="eastAsia" w:hAnsi="宋体" w:cs="宋体"/>
          <w:bCs/>
          <w:color w:val="auto"/>
          <w:kern w:val="0"/>
          <w:highlight w:val="none"/>
        </w:rPr>
        <w:t>按照《关于政府采购支持监狱企业发展有关问题的通知》（财库〔2014〕68号）认定为监狱企业的，在政府采购活动中，监狱企业视同</w:t>
      </w:r>
      <w:r>
        <w:rPr>
          <w:rFonts w:hint="eastAsia" w:hAnsi="宋体" w:cs="宋体"/>
          <w:color w:val="auto"/>
          <w:highlight w:val="none"/>
        </w:rPr>
        <w:t>小微企业</w:t>
      </w:r>
      <w:r>
        <w:rPr>
          <w:rFonts w:hint="eastAsia" w:hAnsi="宋体" w:cs="宋体"/>
          <w:bCs/>
          <w:color w:val="auto"/>
          <w:kern w:val="0"/>
          <w:highlight w:val="none"/>
        </w:rPr>
        <w:t>。监狱企业参加政府采购活动时，应当提供由省级以上监狱管理局、戒毒管理局（含新疆生产建设兵团）出具的属于监狱企业的证明文件。</w:t>
      </w:r>
    </w:p>
    <w:p>
      <w:pPr>
        <w:pStyle w:val="22"/>
        <w:spacing w:line="400" w:lineRule="exact"/>
        <w:ind w:firstLine="420" w:firstLineChars="200"/>
        <w:rPr>
          <w:rFonts w:hAnsi="宋体" w:cs="宋体"/>
          <w:bCs/>
          <w:color w:val="auto"/>
          <w:kern w:val="0"/>
          <w:highlight w:val="none"/>
        </w:rPr>
      </w:pPr>
      <w:r>
        <w:rPr>
          <w:rFonts w:hint="eastAsia" w:hAnsi="宋体" w:cs="宋体"/>
          <w:bCs/>
          <w:color w:val="auto"/>
          <w:kern w:val="0"/>
          <w:highlight w:val="none"/>
        </w:rPr>
        <w:t>符合《关于促进残疾人就业政府采购政策的通知》(财库〔2017〕141号)规定条件，认定为残疾人福利性单位的，在政府采购活动中，残疾人福利性单位视同</w:t>
      </w:r>
      <w:r>
        <w:rPr>
          <w:rFonts w:hint="eastAsia" w:hAnsi="宋体" w:cs="宋体"/>
          <w:color w:val="auto"/>
          <w:highlight w:val="none"/>
        </w:rPr>
        <w:t>小微企业</w:t>
      </w:r>
      <w:r>
        <w:rPr>
          <w:rFonts w:hint="eastAsia" w:hAnsi="宋体" w:cs="宋体"/>
          <w:bCs/>
          <w:color w:val="auto"/>
          <w:kern w:val="0"/>
          <w:highlight w:val="none"/>
        </w:rPr>
        <w:t>。残疾人福利性单位参加政府采购活动时，应当提供该通知规定的《残疾人福利性单位声明函》，并对声明的真实性负责。成交人为残疾人福利性单位的，随成交结果公告其《残疾人福利性单位声明函》，接受社会监督。</w:t>
      </w:r>
    </w:p>
    <w:p>
      <w:pPr>
        <w:spacing w:line="400" w:lineRule="atLeast"/>
        <w:ind w:firstLine="420" w:firstLineChars="200"/>
        <w:rPr>
          <w:rFonts w:ascii="宋体" w:hAnsi="宋体" w:cs="Courier New"/>
          <w:bCs/>
          <w:color w:val="auto"/>
          <w:kern w:val="0"/>
          <w:szCs w:val="21"/>
          <w:highlight w:val="none"/>
        </w:rPr>
      </w:pPr>
      <w:r>
        <w:rPr>
          <w:rFonts w:hint="eastAsia" w:ascii="宋体" w:hAnsi="宋体" w:cs="Courier New"/>
          <w:bCs/>
          <w:color w:val="auto"/>
          <w:kern w:val="0"/>
          <w:szCs w:val="21"/>
          <w:highlight w:val="none"/>
        </w:rPr>
        <w:t>（2）以进入评审的最低的评标价为</w:t>
      </w:r>
      <w:r>
        <w:rPr>
          <w:rFonts w:hint="eastAsia" w:ascii="宋体" w:hAnsi="宋体" w:cs="Courier New"/>
          <w:bCs/>
          <w:color w:val="auto"/>
          <w:kern w:val="0"/>
          <w:szCs w:val="21"/>
          <w:highlight w:val="none"/>
          <w:u w:val="single"/>
        </w:rPr>
        <w:t>20</w:t>
      </w:r>
      <w:r>
        <w:rPr>
          <w:rFonts w:hint="eastAsia" w:ascii="宋体" w:hAnsi="宋体" w:cs="Courier New"/>
          <w:bCs/>
          <w:color w:val="auto"/>
          <w:kern w:val="0"/>
          <w:szCs w:val="21"/>
          <w:highlight w:val="none"/>
        </w:rPr>
        <w:t>分。</w:t>
      </w:r>
    </w:p>
    <w:p>
      <w:pPr>
        <w:spacing w:line="400" w:lineRule="atLeast"/>
        <w:ind w:firstLine="420" w:firstLineChars="200"/>
        <w:rPr>
          <w:rFonts w:ascii="宋体" w:hAnsi="宋体" w:cs="Courier New"/>
          <w:bCs/>
          <w:color w:val="auto"/>
          <w:kern w:val="0"/>
          <w:szCs w:val="21"/>
          <w:highlight w:val="none"/>
        </w:rPr>
      </w:pPr>
      <w:r>
        <w:rPr>
          <w:rFonts w:hint="eastAsia" w:ascii="宋体" w:hAnsi="宋体" w:cs="Courier New"/>
          <w:bCs/>
          <w:color w:val="auto"/>
          <w:kern w:val="0"/>
          <w:szCs w:val="21"/>
          <w:highlight w:val="none"/>
        </w:rPr>
        <w:t>（3）某供应商价格分 = 供应商最低评标报价（金额）/某供应商评标报价（金额）×20分</w:t>
      </w:r>
    </w:p>
    <w:p>
      <w:pPr>
        <w:tabs>
          <w:tab w:val="right" w:leader="dot" w:pos="9185"/>
        </w:tabs>
        <w:adjustRightInd w:val="0"/>
        <w:spacing w:line="400" w:lineRule="atLeast"/>
        <w:textAlignment w:val="baseline"/>
        <w:rPr>
          <w:rFonts w:ascii="宋体" w:hAnsi="宋体"/>
          <w:b/>
          <w:color w:val="auto"/>
          <w:kern w:val="0"/>
          <w:szCs w:val="21"/>
          <w:highlight w:val="none"/>
        </w:rPr>
      </w:pPr>
      <w:r>
        <w:rPr>
          <w:rFonts w:ascii="宋体" w:hAnsi="宋体"/>
          <w:b/>
          <w:color w:val="auto"/>
          <w:kern w:val="0"/>
          <w:szCs w:val="21"/>
          <w:highlight w:val="none"/>
        </w:rPr>
        <w:t>2</w:t>
      </w:r>
      <w:r>
        <w:rPr>
          <w:rFonts w:hint="eastAsia" w:ascii="宋体" w:hAnsi="宋体"/>
          <w:b/>
          <w:color w:val="auto"/>
          <w:kern w:val="0"/>
          <w:szCs w:val="21"/>
          <w:highlight w:val="none"/>
        </w:rPr>
        <w:t>、项目服务实施方案分……………………………………………………………………40分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对比各供应商提供的项目服务实施方案响应采购需求的情况（重点考核项目理解和分析、设计或策划思路、具体措施和计划、实施人员计划、服务质量承诺等）。服务实施方案内容不齐全的视为实施方案不合格，此项不得分。由评委在打分前集体讨论各服务实施方案优劣，确定各所属档次；评委依照各竞标人情况在确定档次内独立打分。无方案的得0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一档13分：设计或策划思路简单，项目实施方案简单；成果质量基本有保障或无法确定成果质量有保障，基本响应项目需求或无法完全响应项目需求；</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二档26分：对项目理解一般，分析一般，设计或策划思路一般；总体项目实施方案一般，一般可行；实施人员和实施经验一般，成果质量一般有保障；响应满足项目需求；</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三档40分：对本项目有正确深刻理解与认识，项目分析详细，设计或策划策划思路清晰，措施具体；总体项目实施方案严谨、合理，符合规范，完全可行；有专业实施人员和实施经验，成果质量完全有保障；响应优于项目需求。</w:t>
      </w:r>
    </w:p>
    <w:p>
      <w:pPr>
        <w:spacing w:line="400" w:lineRule="atLeast"/>
        <w:rPr>
          <w:rFonts w:ascii="宋体" w:hAnsi="宋体"/>
          <w:bCs/>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、售后服务承诺分…………………………………………………………………………16分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（1）售后服务承诺：由评审专家对比各竞标人提供的售后服务承诺，确定各所属档次，在确定档次内独立打分（满分10分）。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一档（3分）：质量保证措施和售后服务承诺不完善，安排不具体，售后响应时间不及时或较慢，无具体承诺或不适用，服务内容、保障措施简单；</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二档（6分）：质量保证措施和售后服务承诺较完善，安排较具体，内容较完整、可行，售后响应程度良好，有具体承诺，服务内容、保障措施较为详细；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三档（10分）：质量保证措施和售后服务承诺完善，安排详细具体，内容完整、齐全、可行，售后响应程度高，有具体承诺且优于采购要求，服务内容、保障措施详细、具体。</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售后服务能力分：提供本次服务车辆所属运输企业在南宁市区内设有1处及以上停车场站、候车区、旅游咨询点等与本次服务相关的设施的得3分，提供本次服务车辆所属运输企业在南宁市区内设有2处及以上停车场站、候车区、旅游咨询点等与本次服务相关的设施的得6分，满分6分。（须提供相关证明材料，否则不予计分）。</w:t>
      </w:r>
    </w:p>
    <w:p>
      <w:pPr>
        <w:tabs>
          <w:tab w:val="right" w:leader="dot" w:pos="9185"/>
        </w:tabs>
        <w:adjustRightInd w:val="0"/>
        <w:spacing w:line="400" w:lineRule="atLeast"/>
        <w:textAlignment w:val="baseline"/>
        <w:rPr>
          <w:rFonts w:ascii="宋体" w:hAnsi="宋体"/>
          <w:b/>
          <w:color w:val="auto"/>
          <w:kern w:val="0"/>
          <w:szCs w:val="21"/>
          <w:highlight w:val="none"/>
        </w:rPr>
      </w:pPr>
      <w:r>
        <w:rPr>
          <w:rFonts w:ascii="宋体" w:hAnsi="宋体"/>
          <w:b/>
          <w:color w:val="auto"/>
          <w:kern w:val="0"/>
          <w:szCs w:val="21"/>
          <w:highlight w:val="none"/>
        </w:rPr>
        <w:t>4</w:t>
      </w:r>
      <w:r>
        <w:rPr>
          <w:rFonts w:hint="eastAsia" w:ascii="宋体" w:hAnsi="宋体"/>
          <w:b/>
          <w:color w:val="auto"/>
          <w:kern w:val="0"/>
          <w:szCs w:val="21"/>
          <w:highlight w:val="none"/>
        </w:rPr>
        <w:t>、业绩分………………………………………………………………………………………15分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2020年1月1日至今完成类似项目业绩的，每个得3分，满分15分（以合同复印件为准）。</w:t>
      </w:r>
    </w:p>
    <w:p>
      <w:pPr>
        <w:tabs>
          <w:tab w:val="right" w:leader="dot" w:pos="9185"/>
        </w:tabs>
        <w:adjustRightInd w:val="0"/>
        <w:spacing w:line="400" w:lineRule="atLeast"/>
        <w:textAlignment w:val="baseline"/>
        <w:rPr>
          <w:rFonts w:ascii="宋体" w:hAnsi="宋体"/>
          <w:b/>
          <w:color w:val="auto"/>
          <w:kern w:val="0"/>
          <w:szCs w:val="21"/>
          <w:highlight w:val="none"/>
        </w:rPr>
      </w:pPr>
      <w:r>
        <w:rPr>
          <w:rFonts w:hint="eastAsia" w:ascii="宋体" w:hAnsi="宋体"/>
          <w:b/>
          <w:color w:val="auto"/>
          <w:kern w:val="0"/>
          <w:szCs w:val="21"/>
          <w:highlight w:val="none"/>
        </w:rPr>
        <w:t>5、信誉分………………………………………………………………………………………9分</w:t>
      </w:r>
    </w:p>
    <w:p>
      <w:pPr>
        <w:spacing w:line="400" w:lineRule="atLeas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供应商2020年至今获得与本项目服务有关的奖项或称号的，得3分，满分9分</w:t>
      </w:r>
    </w:p>
    <w:p>
      <w:pPr>
        <w:spacing w:line="400" w:lineRule="atLeast"/>
        <w:ind w:firstLine="420" w:firstLineChars="200"/>
        <w:rPr>
          <w:rFonts w:ascii="宋体" w:hAnsi="宋体"/>
          <w:color w:val="auto"/>
          <w:szCs w:val="21"/>
          <w:highlight w:val="none"/>
        </w:rPr>
      </w:pPr>
      <w:r>
        <w:rPr>
          <w:rFonts w:hint="eastAsia" w:ascii="宋体" w:hAnsi="宋体" w:cs="宋体"/>
          <w:color w:val="auto"/>
          <w:szCs w:val="21"/>
          <w:highlight w:val="none"/>
          <w:lang w:bidi="ar"/>
        </w:rPr>
        <w:t>备注：提供获奖证书或批文等证明材料，复印件必须清晰，须加盖供应商单位公章，否则不予计分。</w:t>
      </w:r>
    </w:p>
    <w:p>
      <w:pPr>
        <w:spacing w:line="400" w:lineRule="atLeast"/>
        <w:rPr>
          <w:rFonts w:ascii="宋体" w:hAnsi="宋体"/>
          <w:color w:val="auto"/>
          <w:szCs w:val="21"/>
          <w:highlight w:val="none"/>
        </w:rPr>
      </w:pPr>
      <w:r>
        <w:rPr>
          <w:rFonts w:hint="eastAsia" w:ascii="宋体" w:hAnsi="宋体"/>
          <w:color w:val="auto"/>
          <w:szCs w:val="21"/>
          <w:highlight w:val="none"/>
        </w:rPr>
        <w:t>（三）总得分</w:t>
      </w:r>
      <w:r>
        <w:rPr>
          <w:rFonts w:ascii="宋体" w:hAnsi="宋体"/>
          <w:color w:val="auto"/>
          <w:szCs w:val="21"/>
          <w:highlight w:val="none"/>
        </w:rPr>
        <w:t>=1 + 2 + 3</w:t>
      </w:r>
      <w:r>
        <w:rPr>
          <w:rFonts w:hint="eastAsia" w:ascii="宋体" w:hAnsi="宋体"/>
          <w:color w:val="auto"/>
          <w:szCs w:val="21"/>
          <w:highlight w:val="none"/>
        </w:rPr>
        <w:t xml:space="preserve"> + 4 + 5。</w:t>
      </w:r>
    </w:p>
    <w:p>
      <w:pPr>
        <w:tabs>
          <w:tab w:val="right" w:leader="dot" w:pos="9185"/>
        </w:tabs>
        <w:adjustRightInd w:val="0"/>
        <w:spacing w:line="400" w:lineRule="atLeast"/>
        <w:textAlignment w:val="baseline"/>
        <w:rPr>
          <w:rFonts w:ascii="宋体" w:hAnsi="宋体"/>
          <w:b/>
          <w:bCs/>
          <w:color w:val="auto"/>
          <w:kern w:val="0"/>
          <w:szCs w:val="21"/>
          <w:highlight w:val="none"/>
        </w:rPr>
      </w:pPr>
      <w:r>
        <w:rPr>
          <w:rFonts w:hint="eastAsia" w:ascii="宋体" w:hAnsi="宋体"/>
          <w:b/>
          <w:bCs/>
          <w:color w:val="auto"/>
          <w:kern w:val="0"/>
          <w:szCs w:val="21"/>
          <w:highlight w:val="none"/>
        </w:rPr>
        <w:t>三、成交候选供应商推荐原则</w:t>
      </w:r>
    </w:p>
    <w:p>
      <w:pPr>
        <w:spacing w:line="400" w:lineRule="atLeast"/>
        <w:jc w:val="left"/>
        <w:rPr>
          <w:rFonts w:ascii="宋体" w:hAnsi="宋体"/>
          <w:color w:val="auto"/>
          <w:szCs w:val="21"/>
          <w:highlight w:val="none"/>
        </w:rPr>
      </w:pPr>
      <w:r>
        <w:rPr>
          <w:rFonts w:hint="eastAsia" w:ascii="宋体" w:hAnsi="宋体" w:cs="Courier New"/>
          <w:b/>
          <w:color w:val="auto"/>
          <w:szCs w:val="21"/>
          <w:highlight w:val="none"/>
        </w:rPr>
        <w:t xml:space="preserve">    </w:t>
      </w:r>
      <w:r>
        <w:rPr>
          <w:rFonts w:hint="eastAsia" w:ascii="宋体" w:hAnsi="宋体"/>
          <w:color w:val="auto"/>
          <w:szCs w:val="21"/>
          <w:highlight w:val="none"/>
        </w:rPr>
        <w:t>（一）磋商小组将根据得分由高到低排列次序（得分相同时，以磋商报价</w:t>
      </w:r>
      <w:r>
        <w:rPr>
          <w:rFonts w:hint="eastAsia" w:ascii="宋体" w:hAnsi="宋体"/>
          <w:b/>
          <w:color w:val="auto"/>
          <w:szCs w:val="21"/>
          <w:highlight w:val="none"/>
        </w:rPr>
        <w:t>由低到高</w:t>
      </w:r>
      <w:r>
        <w:rPr>
          <w:rFonts w:hint="eastAsia" w:ascii="宋体" w:hAnsi="宋体"/>
          <w:color w:val="auto"/>
          <w:szCs w:val="21"/>
          <w:highlight w:val="none"/>
        </w:rPr>
        <w:t>顺序排列；得分相同且磋商报价相同的，按技术指标优劣顺序排列）并推荐成交候选供应商。采购采购单位应当确定磋商小组推荐排名第一的成交候选人为成交人。排名第一的成交候选人放弃成交、因不可抗力提出不能履行合同，或者采购文件规定应当提交质量保证金而在规定的期限内未能提交或者被质疑成立后取消成交资格且合格供应商符合法定数量的，采购采购单位可以确定排名第二的成交候选人为成交人。排名第二的成交候选人因前款规定的同样原因不能签订合同的，采购采购单位可以确定排名第三的成交候选人为成交人，其余以此类推。</w:t>
      </w:r>
      <w:r>
        <w:rPr>
          <w:rFonts w:hint="eastAsia" w:ascii="宋体" w:hAnsi="宋体"/>
          <w:b/>
          <w:color w:val="auto"/>
          <w:szCs w:val="21"/>
          <w:highlight w:val="none"/>
        </w:rPr>
        <w:t>采购人也可以决定重新采购。</w:t>
      </w:r>
    </w:p>
    <w:p>
      <w:pPr>
        <w:pStyle w:val="22"/>
        <w:spacing w:line="400" w:lineRule="atLeast"/>
        <w:jc w:val="left"/>
        <w:rPr>
          <w:rFonts w:hAnsi="宋体" w:cs="宋体"/>
          <w:color w:val="auto"/>
          <w:highlight w:val="none"/>
        </w:rPr>
      </w:pPr>
      <w:r>
        <w:rPr>
          <w:rFonts w:hint="eastAsia" w:ascii="Times New Roman" w:hAnsi="宋体" w:cs="Times New Roman"/>
          <w:color w:val="auto"/>
          <w:szCs w:val="24"/>
          <w:highlight w:val="none"/>
          <w14:ligatures w14:val="none"/>
        </w:rPr>
        <w:t>（二）磋商小组认为，某磋商人的有效磋商报价或者某些分项报价明显不合理或者低于成本，有可能影响服务质量和不能诚信履约的，应要求其在评标现场合理的时间内提供书面文件予以解释说明，并提交相关证明材料，否则，磋商小组不推荐该磋商人为成交候选人。</w:t>
      </w:r>
    </w:p>
    <w:p>
      <w:pPr>
        <w:rPr>
          <w:color w:val="auto"/>
          <w:highlight w:val="none"/>
        </w:rPr>
      </w:pPr>
    </w:p>
    <w:sectPr>
      <w:footerReference r:id="rId5" w:type="first"/>
      <w:footerReference r:id="rId3" w:type="default"/>
      <w:footerReference r:id="rId4" w:type="even"/>
      <w:pgSz w:w="11906" w:h="16838"/>
      <w:pgMar w:top="1440" w:right="1361" w:bottom="1814" w:left="147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imSun,Bold">
    <w:altName w:val="宋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56</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FD31870"/>
    <w:multiLevelType w:val="multilevel"/>
    <w:tmpl w:val="4FD31870"/>
    <w:lvl w:ilvl="0" w:tentative="0">
      <w:start w:val="1"/>
      <w:numFmt w:val="decimal"/>
      <w:lvlText w:val="%1"/>
      <w:lvlJc w:val="right"/>
      <w:pPr>
        <w:ind w:left="416" w:hanging="132"/>
      </w:pPr>
      <w:rPr>
        <w:rFonts w:hint="eastAsia" w:ascii="宋体" w:hAnsi="宋体" w:eastAsia="宋体"/>
        <w:b w:val="0"/>
        <w:i w:val="0"/>
        <w:sz w:val="21"/>
      </w:rPr>
    </w:lvl>
    <w:lvl w:ilvl="1" w:tentative="0">
      <w:start w:val="1"/>
      <w:numFmt w:val="lowerLetter"/>
      <w:lvlText w:val="%2)"/>
      <w:lvlJc w:val="left"/>
      <w:pPr>
        <w:ind w:left="836" w:hanging="420"/>
      </w:pPr>
    </w:lvl>
    <w:lvl w:ilvl="2" w:tentative="0">
      <w:start w:val="1"/>
      <w:numFmt w:val="lowerRoman"/>
      <w:lvlText w:val="%3."/>
      <w:lvlJc w:val="right"/>
      <w:pPr>
        <w:ind w:left="1256" w:hanging="420"/>
      </w:pPr>
    </w:lvl>
    <w:lvl w:ilvl="3" w:tentative="0">
      <w:start w:val="1"/>
      <w:numFmt w:val="decimal"/>
      <w:lvlText w:val="%4."/>
      <w:lvlJc w:val="left"/>
      <w:pPr>
        <w:ind w:left="1676" w:hanging="420"/>
      </w:pPr>
    </w:lvl>
    <w:lvl w:ilvl="4" w:tentative="0">
      <w:start w:val="1"/>
      <w:numFmt w:val="lowerLetter"/>
      <w:lvlText w:val="%5)"/>
      <w:lvlJc w:val="left"/>
      <w:pPr>
        <w:ind w:left="2096" w:hanging="420"/>
      </w:pPr>
    </w:lvl>
    <w:lvl w:ilvl="5" w:tentative="0">
      <w:start w:val="1"/>
      <w:numFmt w:val="lowerRoman"/>
      <w:lvlText w:val="%6."/>
      <w:lvlJc w:val="right"/>
      <w:pPr>
        <w:ind w:left="2516" w:hanging="420"/>
      </w:pPr>
    </w:lvl>
    <w:lvl w:ilvl="6" w:tentative="0">
      <w:start w:val="1"/>
      <w:numFmt w:val="decimal"/>
      <w:lvlText w:val="%7."/>
      <w:lvlJc w:val="left"/>
      <w:pPr>
        <w:ind w:left="2936" w:hanging="420"/>
      </w:pPr>
    </w:lvl>
    <w:lvl w:ilvl="7" w:tentative="0">
      <w:start w:val="1"/>
      <w:numFmt w:val="lowerLetter"/>
      <w:lvlText w:val="%8)"/>
      <w:lvlJc w:val="left"/>
      <w:pPr>
        <w:ind w:left="3356" w:hanging="420"/>
      </w:pPr>
    </w:lvl>
    <w:lvl w:ilvl="8" w:tentative="0">
      <w:start w:val="1"/>
      <w:numFmt w:val="lowerRoman"/>
      <w:lvlText w:val="%9."/>
      <w:lvlJc w:val="right"/>
      <w:pPr>
        <w:ind w:left="3776" w:hanging="420"/>
      </w:pPr>
    </w:lvl>
  </w:abstractNum>
  <w:abstractNum w:abstractNumId="3">
    <w:nsid w:val="598BAA61"/>
    <w:multiLevelType w:val="singleLevel"/>
    <w:tmpl w:val="598BAA61"/>
    <w:lvl w:ilvl="0" w:tentative="0">
      <w:start w:val="2"/>
      <w:numFmt w:val="decimal"/>
      <w:suff w:val="nothing"/>
      <w:lvlText w:val="%1、"/>
      <w:lvlJc w:val="left"/>
    </w:lvl>
  </w:abstractNum>
  <w:abstractNum w:abstractNumId="4">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zMTM4MGIwMjJmODgwMDcwMGE2NTc3NmI2NGI4ZTkifQ=="/>
  </w:docVars>
  <w:rsids>
    <w:rsidRoot w:val="00B3595D"/>
    <w:rsid w:val="00026F80"/>
    <w:rsid w:val="00035E39"/>
    <w:rsid w:val="00044FC3"/>
    <w:rsid w:val="000643F3"/>
    <w:rsid w:val="00084BDD"/>
    <w:rsid w:val="00086BAE"/>
    <w:rsid w:val="0009615D"/>
    <w:rsid w:val="000A03D4"/>
    <w:rsid w:val="000A7A1D"/>
    <w:rsid w:val="000C1644"/>
    <w:rsid w:val="000D1725"/>
    <w:rsid w:val="000E2DE3"/>
    <w:rsid w:val="00125695"/>
    <w:rsid w:val="00143583"/>
    <w:rsid w:val="00177134"/>
    <w:rsid w:val="00187BF8"/>
    <w:rsid w:val="00192D65"/>
    <w:rsid w:val="00194C7E"/>
    <w:rsid w:val="001B110A"/>
    <w:rsid w:val="001B55B9"/>
    <w:rsid w:val="001C1C9A"/>
    <w:rsid w:val="001E70BD"/>
    <w:rsid w:val="001F3FE5"/>
    <w:rsid w:val="00230153"/>
    <w:rsid w:val="00235502"/>
    <w:rsid w:val="00263538"/>
    <w:rsid w:val="002911C1"/>
    <w:rsid w:val="00293A5F"/>
    <w:rsid w:val="002A5CEE"/>
    <w:rsid w:val="002D4A01"/>
    <w:rsid w:val="002E2868"/>
    <w:rsid w:val="002F1384"/>
    <w:rsid w:val="002F17B7"/>
    <w:rsid w:val="00312B92"/>
    <w:rsid w:val="00350D90"/>
    <w:rsid w:val="00357EAA"/>
    <w:rsid w:val="00375041"/>
    <w:rsid w:val="0038203F"/>
    <w:rsid w:val="003925A7"/>
    <w:rsid w:val="003B6E5D"/>
    <w:rsid w:val="003C21FF"/>
    <w:rsid w:val="003C5F8B"/>
    <w:rsid w:val="003D3B78"/>
    <w:rsid w:val="004244F3"/>
    <w:rsid w:val="00430550"/>
    <w:rsid w:val="004509EF"/>
    <w:rsid w:val="00464A45"/>
    <w:rsid w:val="004854F8"/>
    <w:rsid w:val="0052020B"/>
    <w:rsid w:val="0054643C"/>
    <w:rsid w:val="00564CB8"/>
    <w:rsid w:val="005B5066"/>
    <w:rsid w:val="005E7B7C"/>
    <w:rsid w:val="005F1EB8"/>
    <w:rsid w:val="00635996"/>
    <w:rsid w:val="0064670E"/>
    <w:rsid w:val="00663FC2"/>
    <w:rsid w:val="00696B69"/>
    <w:rsid w:val="006A0CCA"/>
    <w:rsid w:val="006E3709"/>
    <w:rsid w:val="006F2FFB"/>
    <w:rsid w:val="00706EB8"/>
    <w:rsid w:val="00774811"/>
    <w:rsid w:val="00811492"/>
    <w:rsid w:val="008144EA"/>
    <w:rsid w:val="00837829"/>
    <w:rsid w:val="00846C60"/>
    <w:rsid w:val="00851003"/>
    <w:rsid w:val="008555FD"/>
    <w:rsid w:val="00876ADF"/>
    <w:rsid w:val="00882720"/>
    <w:rsid w:val="00886770"/>
    <w:rsid w:val="008911F5"/>
    <w:rsid w:val="008A1EF5"/>
    <w:rsid w:val="008A44F6"/>
    <w:rsid w:val="008A523B"/>
    <w:rsid w:val="008F5BCA"/>
    <w:rsid w:val="00901475"/>
    <w:rsid w:val="00926CC8"/>
    <w:rsid w:val="00930B7E"/>
    <w:rsid w:val="00945911"/>
    <w:rsid w:val="00953FA9"/>
    <w:rsid w:val="009900A3"/>
    <w:rsid w:val="0099144E"/>
    <w:rsid w:val="009A1332"/>
    <w:rsid w:val="009A2F8B"/>
    <w:rsid w:val="009E4798"/>
    <w:rsid w:val="00A34B90"/>
    <w:rsid w:val="00A36D52"/>
    <w:rsid w:val="00A75978"/>
    <w:rsid w:val="00AE213D"/>
    <w:rsid w:val="00B00EA5"/>
    <w:rsid w:val="00B311DF"/>
    <w:rsid w:val="00B3595D"/>
    <w:rsid w:val="00B4317F"/>
    <w:rsid w:val="00B541EC"/>
    <w:rsid w:val="00B6144B"/>
    <w:rsid w:val="00B712AA"/>
    <w:rsid w:val="00BB49BB"/>
    <w:rsid w:val="00BC6695"/>
    <w:rsid w:val="00BE1384"/>
    <w:rsid w:val="00BE62CE"/>
    <w:rsid w:val="00C36C81"/>
    <w:rsid w:val="00C430C6"/>
    <w:rsid w:val="00C433E3"/>
    <w:rsid w:val="00C72EC0"/>
    <w:rsid w:val="00CB68C8"/>
    <w:rsid w:val="00CC0C4D"/>
    <w:rsid w:val="00CC3F00"/>
    <w:rsid w:val="00D06573"/>
    <w:rsid w:val="00D1362C"/>
    <w:rsid w:val="00D228E8"/>
    <w:rsid w:val="00D30512"/>
    <w:rsid w:val="00D5762F"/>
    <w:rsid w:val="00D76630"/>
    <w:rsid w:val="00DB3118"/>
    <w:rsid w:val="00DC150F"/>
    <w:rsid w:val="00DC6A86"/>
    <w:rsid w:val="00DD0124"/>
    <w:rsid w:val="00DD6FD5"/>
    <w:rsid w:val="00DE426E"/>
    <w:rsid w:val="00DE4BA2"/>
    <w:rsid w:val="00DF4833"/>
    <w:rsid w:val="00E138AE"/>
    <w:rsid w:val="00E15534"/>
    <w:rsid w:val="00E20209"/>
    <w:rsid w:val="00E313CD"/>
    <w:rsid w:val="00E32080"/>
    <w:rsid w:val="00E649B6"/>
    <w:rsid w:val="00E940D7"/>
    <w:rsid w:val="00EB5A63"/>
    <w:rsid w:val="00EC1665"/>
    <w:rsid w:val="00EC4181"/>
    <w:rsid w:val="00EE69CF"/>
    <w:rsid w:val="00EF1B50"/>
    <w:rsid w:val="00EF7F64"/>
    <w:rsid w:val="00F07BDC"/>
    <w:rsid w:val="00F32104"/>
    <w:rsid w:val="00F32120"/>
    <w:rsid w:val="00F74398"/>
    <w:rsid w:val="00F801C3"/>
    <w:rsid w:val="00F804C0"/>
    <w:rsid w:val="00F81265"/>
    <w:rsid w:val="00F865B6"/>
    <w:rsid w:val="00F9423E"/>
    <w:rsid w:val="00FE02A5"/>
    <w:rsid w:val="4558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nhideWhenUsed="0" w:uiPriority="0" w:semiHidden="0" w:name="toc 9"/>
    <w:lsdException w:unhideWhenUsed="0" w:uiPriority="99" w:semiHidden="0" w:name="Normal Indent"/>
    <w:lsdException w:qFormat="1" w:unhideWhenUsed="0" w:uiPriority="0" w:semiHidden="0" w:name="footnote text"/>
    <w:lsdException w:qFormat="1" w:unhideWhenUsed="0" w:uiPriority="0" w:semiHidden="0" w:name="annotation text"/>
    <w:lsdException w:uiPriority="0" w:semiHidden="0" w:name="header"/>
    <w:lsdException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nhideWhenUsed="0" w:uiPriority="0" w:semiHidden="0"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40" w:after="240"/>
      <w:outlineLvl w:val="1"/>
    </w:pPr>
    <w:rPr>
      <w:rFonts w:ascii="Cambria" w:hAnsi="Cambria" w:eastAsia="黑体"/>
      <w:b/>
      <w:bCs/>
      <w:szCs w:val="32"/>
    </w:rPr>
  </w:style>
  <w:style w:type="paragraph" w:styleId="4">
    <w:name w:val="heading 3"/>
    <w:basedOn w:val="1"/>
    <w:next w:val="1"/>
    <w:link w:val="50"/>
    <w:qFormat/>
    <w:uiPriority w:val="0"/>
    <w:pPr>
      <w:spacing w:before="100" w:beforeAutospacing="1" w:after="100" w:afterAutospacing="1"/>
      <w:jc w:val="left"/>
      <w:outlineLvl w:val="2"/>
    </w:pPr>
    <w:rPr>
      <w:rFonts w:ascii="宋体" w:hAnsi="宋体"/>
      <w:b/>
      <w:kern w:val="0"/>
      <w:sz w:val="27"/>
      <w:szCs w:val="27"/>
    </w:rPr>
  </w:style>
  <w:style w:type="paragraph" w:styleId="5">
    <w:name w:val="heading 4"/>
    <w:basedOn w:val="1"/>
    <w:next w:val="1"/>
    <w:link w:val="5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52"/>
    <w:autoRedefine/>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53"/>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54"/>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55"/>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56"/>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7">
    <w:name w:val="Normal Indent"/>
    <w:basedOn w:val="1"/>
    <w:uiPriority w:val="99"/>
    <w:pPr>
      <w:ind w:firstLine="420"/>
    </w:pPr>
    <w:rPr>
      <w:szCs w:val="20"/>
    </w:rPr>
  </w:style>
  <w:style w:type="paragraph" w:styleId="12">
    <w:name w:val="List Number"/>
    <w:basedOn w:val="1"/>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15"/>
    <w:autoRedefine/>
    <w:semiHidden/>
    <w:qFormat/>
    <w:uiPriority w:val="0"/>
    <w:pPr>
      <w:shd w:val="clear" w:color="auto" w:fill="000080"/>
    </w:pPr>
  </w:style>
  <w:style w:type="paragraph" w:styleId="15">
    <w:name w:val="annotation text"/>
    <w:basedOn w:val="1"/>
    <w:link w:val="85"/>
    <w:autoRedefine/>
    <w:qFormat/>
    <w:uiPriority w:val="0"/>
    <w:pPr>
      <w:jc w:val="left"/>
    </w:pPr>
    <w:rPr>
      <w:rFonts w:ascii="Times New Roman" w:hAnsi="Times New Roman" w:eastAsiaTheme="minorEastAsia"/>
      <w:szCs w:val="21"/>
      <w14:ligatures w14:val="standardContextual"/>
    </w:rPr>
  </w:style>
  <w:style w:type="paragraph" w:styleId="16">
    <w:name w:val="Body Text 3"/>
    <w:basedOn w:val="1"/>
    <w:link w:val="111"/>
    <w:uiPriority w:val="0"/>
    <w:pPr>
      <w:spacing w:line="500" w:lineRule="exact"/>
    </w:pPr>
    <w:rPr>
      <w:b/>
      <w:bCs/>
      <w:sz w:val="24"/>
    </w:rPr>
  </w:style>
  <w:style w:type="paragraph" w:styleId="17">
    <w:name w:val="Body Text"/>
    <w:basedOn w:val="1"/>
    <w:next w:val="1"/>
    <w:link w:val="96"/>
    <w:autoRedefine/>
    <w:qFormat/>
    <w:uiPriority w:val="0"/>
    <w:pPr>
      <w:spacing w:line="380" w:lineRule="exact"/>
    </w:pPr>
    <w:rPr>
      <w:rFonts w:asciiTheme="minorHAnsi" w:hAnsiTheme="minorHAnsi" w:eastAsiaTheme="minorEastAsia" w:cstheme="minorBidi"/>
      <w:sz w:val="24"/>
      <w14:ligatures w14:val="standardContextual"/>
    </w:rPr>
  </w:style>
  <w:style w:type="paragraph" w:styleId="18">
    <w:name w:val="Body Text Indent"/>
    <w:basedOn w:val="1"/>
    <w:link w:val="86"/>
    <w:autoRedefine/>
    <w:qFormat/>
    <w:uiPriority w:val="0"/>
    <w:pPr>
      <w:ind w:firstLine="830" w:firstLineChars="352"/>
    </w:pPr>
    <w:rPr>
      <w:rFonts w:ascii="仿宋_GB2312" w:eastAsia="仿宋_GB2312" w:hAnsiTheme="minorHAnsi" w:cstheme="minorBidi"/>
      <w:sz w:val="32"/>
      <w:szCs w:val="22"/>
      <w14:ligatures w14:val="standardContextual"/>
    </w:rPr>
  </w:style>
  <w:style w:type="paragraph" w:styleId="19">
    <w:name w:val="List Number 3"/>
    <w:basedOn w:val="1"/>
    <w:uiPriority w:val="0"/>
    <w:pPr>
      <w:numPr>
        <w:ilvl w:val="0"/>
        <w:numId w:val="2"/>
      </w:numPr>
    </w:pPr>
  </w:style>
  <w:style w:type="paragraph" w:styleId="20">
    <w:name w:val="List 2"/>
    <w:basedOn w:val="1"/>
    <w:uiPriority w:val="0"/>
    <w:pPr>
      <w:ind w:left="100" w:leftChars="200" w:hanging="200" w:hangingChars="200"/>
    </w:pPr>
    <w:rPr>
      <w:sz w:val="28"/>
    </w:rPr>
  </w:style>
  <w:style w:type="paragraph" w:styleId="21">
    <w:name w:val="Block Text"/>
    <w:basedOn w:val="1"/>
    <w:qFormat/>
    <w:uiPriority w:val="0"/>
    <w:pPr>
      <w:adjustRightInd w:val="0"/>
      <w:spacing w:line="360" w:lineRule="auto"/>
      <w:ind w:left="420" w:right="33"/>
      <w:jc w:val="left"/>
      <w:textAlignment w:val="baseline"/>
    </w:pPr>
    <w:rPr>
      <w:rFonts w:ascii="Times New Roman" w:hAnsi="Times New Roman" w:eastAsia="华文仿宋"/>
      <w:kern w:val="0"/>
      <w:sz w:val="24"/>
    </w:rPr>
  </w:style>
  <w:style w:type="paragraph" w:styleId="22">
    <w:name w:val="Plain Text"/>
    <w:basedOn w:val="1"/>
    <w:next w:val="1"/>
    <w:link w:val="95"/>
    <w:qFormat/>
    <w:uiPriority w:val="99"/>
    <w:rPr>
      <w:rFonts w:ascii="宋体" w:hAnsi="Courier New" w:cs="Courier New"/>
      <w:szCs w:val="21"/>
      <w14:ligatures w14:val="standardContextual"/>
    </w:rPr>
  </w:style>
  <w:style w:type="paragraph" w:styleId="23">
    <w:name w:val="Date"/>
    <w:basedOn w:val="1"/>
    <w:next w:val="1"/>
    <w:link w:val="105"/>
    <w:autoRedefine/>
    <w:uiPriority w:val="0"/>
    <w:pPr>
      <w:ind w:left="100" w:leftChars="2500"/>
    </w:pPr>
    <w:rPr>
      <w:rFonts w:ascii="宋体" w:hAnsi="Courier New" w:cs="Courier New"/>
      <w:szCs w:val="21"/>
    </w:rPr>
  </w:style>
  <w:style w:type="paragraph" w:styleId="24">
    <w:name w:val="Body Text Indent 2"/>
    <w:basedOn w:val="1"/>
    <w:link w:val="109"/>
    <w:uiPriority w:val="0"/>
    <w:pPr>
      <w:ind w:firstLine="630"/>
    </w:pPr>
    <w:rPr>
      <w:sz w:val="32"/>
      <w:szCs w:val="20"/>
    </w:rPr>
  </w:style>
  <w:style w:type="paragraph" w:styleId="25">
    <w:name w:val="Balloon Text"/>
    <w:basedOn w:val="1"/>
    <w:link w:val="113"/>
    <w:semiHidden/>
    <w:uiPriority w:val="0"/>
    <w:rPr>
      <w:sz w:val="18"/>
      <w:szCs w:val="18"/>
    </w:rPr>
  </w:style>
  <w:style w:type="paragraph" w:styleId="26">
    <w:name w:val="footer"/>
    <w:basedOn w:val="1"/>
    <w:link w:val="47"/>
    <w:unhideWhenUsed/>
    <w:uiPriority w:val="0"/>
    <w:pPr>
      <w:tabs>
        <w:tab w:val="center" w:pos="4153"/>
        <w:tab w:val="right" w:pos="8306"/>
      </w:tabs>
      <w:snapToGrid w:val="0"/>
      <w:jc w:val="left"/>
    </w:pPr>
    <w:rPr>
      <w:sz w:val="18"/>
      <w:szCs w:val="18"/>
    </w:rPr>
  </w:style>
  <w:style w:type="paragraph" w:styleId="27">
    <w:name w:val="header"/>
    <w:basedOn w:val="1"/>
    <w:link w:val="46"/>
    <w:unhideWhenUsed/>
    <w:uiPriority w:val="0"/>
    <w:pPr>
      <w:tabs>
        <w:tab w:val="center" w:pos="4153"/>
        <w:tab w:val="right" w:pos="8306"/>
      </w:tabs>
      <w:snapToGrid w:val="0"/>
      <w:jc w:val="center"/>
    </w:pPr>
    <w:rPr>
      <w:sz w:val="18"/>
      <w:szCs w:val="18"/>
    </w:rPr>
  </w:style>
  <w:style w:type="paragraph" w:styleId="28">
    <w:name w:val="toc 1"/>
    <w:basedOn w:val="1"/>
    <w:next w:val="1"/>
    <w:uiPriority w:val="39"/>
  </w:style>
  <w:style w:type="paragraph" w:styleId="29">
    <w:name w:val="List"/>
    <w:basedOn w:val="1"/>
    <w:uiPriority w:val="0"/>
    <w:pPr>
      <w:ind w:left="200" w:hanging="200" w:hangingChars="200"/>
    </w:pPr>
    <w:rPr>
      <w:sz w:val="28"/>
    </w:rPr>
  </w:style>
  <w:style w:type="paragraph" w:styleId="30">
    <w:name w:val="footnote text"/>
    <w:basedOn w:val="1"/>
    <w:link w:val="65"/>
    <w:qFormat/>
    <w:uiPriority w:val="0"/>
    <w:pPr>
      <w:snapToGrid w:val="0"/>
      <w:jc w:val="left"/>
    </w:pPr>
    <w:rPr>
      <w:rFonts w:ascii="Times New Roman" w:hAnsi="Times New Roman" w:eastAsiaTheme="minorEastAsia" w:cstheme="minorBidi"/>
      <w:sz w:val="18"/>
      <w14:ligatures w14:val="standardContextual"/>
    </w:rPr>
  </w:style>
  <w:style w:type="paragraph" w:styleId="31">
    <w:name w:val="Body Text Indent 3"/>
    <w:basedOn w:val="1"/>
    <w:link w:val="104"/>
    <w:autoRedefine/>
    <w:uiPriority w:val="0"/>
    <w:pPr>
      <w:spacing w:after="120"/>
      <w:ind w:left="420" w:leftChars="200"/>
    </w:pPr>
    <w:rPr>
      <w:sz w:val="16"/>
      <w:szCs w:val="16"/>
    </w:rPr>
  </w:style>
  <w:style w:type="paragraph" w:styleId="32">
    <w:name w:val="toc 9"/>
    <w:basedOn w:val="1"/>
    <w:next w:val="1"/>
    <w:uiPriority w:val="0"/>
    <w:pPr>
      <w:tabs>
        <w:tab w:val="right" w:leader="dot" w:pos="9185"/>
      </w:tabs>
      <w:adjustRightInd w:val="0"/>
      <w:spacing w:line="312" w:lineRule="atLeast"/>
      <w:ind w:left="3360"/>
      <w:textAlignment w:val="baseline"/>
    </w:pPr>
    <w:rPr>
      <w:kern w:val="0"/>
      <w:szCs w:val="20"/>
    </w:rPr>
  </w:style>
  <w:style w:type="paragraph" w:styleId="33">
    <w:name w:val="Body Text 2"/>
    <w:basedOn w:val="1"/>
    <w:link w:val="108"/>
    <w:autoRedefine/>
    <w:qFormat/>
    <w:uiPriority w:val="0"/>
    <w:pPr>
      <w:spacing w:after="120" w:line="480" w:lineRule="auto"/>
    </w:p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uiPriority w:val="0"/>
    <w:pPr>
      <w:spacing w:line="400" w:lineRule="exact"/>
      <w:ind w:firstLine="420" w:firstLineChars="200"/>
    </w:pPr>
    <w:rPr>
      <w:rFonts w:ascii="宋体" w:hAnsi="Courier New"/>
      <w:b/>
      <w:szCs w:val="20"/>
    </w:rPr>
  </w:style>
  <w:style w:type="paragraph" w:styleId="36">
    <w:name w:val="Title"/>
    <w:basedOn w:val="1"/>
    <w:next w:val="1"/>
    <w:link w:val="71"/>
    <w:qFormat/>
    <w:uiPriority w:val="0"/>
    <w:pPr>
      <w:spacing w:before="240" w:after="60"/>
      <w:jc w:val="center"/>
      <w:outlineLvl w:val="0"/>
    </w:pPr>
    <w:rPr>
      <w:rFonts w:ascii="Cambria" w:hAnsi="Cambria" w:eastAsiaTheme="minorEastAsia"/>
      <w:b/>
      <w:bCs/>
      <w:sz w:val="32"/>
      <w:szCs w:val="32"/>
      <w14:ligatures w14:val="standardContextual"/>
    </w:rPr>
  </w:style>
  <w:style w:type="paragraph" w:styleId="37">
    <w:name w:val="annotation subject"/>
    <w:basedOn w:val="15"/>
    <w:next w:val="15"/>
    <w:link w:val="73"/>
    <w:autoRedefine/>
    <w:qFormat/>
    <w:uiPriority w:val="0"/>
    <w:rPr>
      <w:rFonts w:asciiTheme="minorHAnsi" w:hAnsiTheme="minorHAnsi" w:cstheme="minorBidi"/>
      <w:b/>
      <w:bCs/>
    </w:rPr>
  </w:style>
  <w:style w:type="character" w:styleId="40">
    <w:name w:val="Strong"/>
    <w:autoRedefine/>
    <w:qFormat/>
    <w:uiPriority w:val="0"/>
    <w:rPr>
      <w:b/>
      <w:bCs/>
    </w:rPr>
  </w:style>
  <w:style w:type="character" w:styleId="41">
    <w:name w:val="page number"/>
    <w:uiPriority w:val="0"/>
    <w:rPr>
      <w:rFonts w:ascii="Times New Roman" w:hAnsi="Times New Roman" w:eastAsia="宋体" w:cs="Times New Roman"/>
    </w:rPr>
  </w:style>
  <w:style w:type="character" w:styleId="42">
    <w:name w:val="FollowedHyperlink"/>
    <w:uiPriority w:val="0"/>
    <w:rPr>
      <w:color w:val="0000CC"/>
      <w:sz w:val="18"/>
      <w:szCs w:val="18"/>
      <w:u w:val="single"/>
    </w:rPr>
  </w:style>
  <w:style w:type="character" w:styleId="43">
    <w:name w:val="Emphasis"/>
    <w:qFormat/>
    <w:uiPriority w:val="0"/>
    <w:rPr>
      <w:i/>
    </w:rPr>
  </w:style>
  <w:style w:type="character" w:styleId="44">
    <w:name w:val="Hyperlink"/>
    <w:uiPriority w:val="99"/>
    <w:rPr>
      <w:color w:val="0000CC"/>
      <w:sz w:val="18"/>
      <w:szCs w:val="18"/>
      <w:u w:val="single"/>
    </w:rPr>
  </w:style>
  <w:style w:type="character" w:styleId="45">
    <w:name w:val="annotation reference"/>
    <w:qFormat/>
    <w:uiPriority w:val="0"/>
    <w:rPr>
      <w:sz w:val="21"/>
      <w:szCs w:val="21"/>
    </w:rPr>
  </w:style>
  <w:style w:type="character" w:customStyle="1" w:styleId="46">
    <w:name w:val="页眉 字符"/>
    <w:basedOn w:val="39"/>
    <w:link w:val="27"/>
    <w:uiPriority w:val="0"/>
    <w:rPr>
      <w:sz w:val="18"/>
      <w:szCs w:val="18"/>
    </w:rPr>
  </w:style>
  <w:style w:type="character" w:customStyle="1" w:styleId="47">
    <w:name w:val="页脚 字符"/>
    <w:basedOn w:val="39"/>
    <w:link w:val="26"/>
    <w:uiPriority w:val="0"/>
    <w:rPr>
      <w:sz w:val="18"/>
      <w:szCs w:val="18"/>
    </w:rPr>
  </w:style>
  <w:style w:type="character" w:customStyle="1" w:styleId="48">
    <w:name w:val="标题 1 字符"/>
    <w:basedOn w:val="39"/>
    <w:link w:val="2"/>
    <w:qFormat/>
    <w:uiPriority w:val="0"/>
    <w:rPr>
      <w:rFonts w:ascii="Calibri" w:hAnsi="Calibri" w:eastAsia="宋体" w:cs="Times New Roman"/>
      <w:b/>
      <w:bCs/>
      <w:kern w:val="44"/>
      <w:sz w:val="44"/>
      <w:szCs w:val="44"/>
      <w14:ligatures w14:val="none"/>
    </w:rPr>
  </w:style>
  <w:style w:type="character" w:customStyle="1" w:styleId="49">
    <w:name w:val="标题 2 字符"/>
    <w:basedOn w:val="39"/>
    <w:link w:val="3"/>
    <w:qFormat/>
    <w:uiPriority w:val="0"/>
    <w:rPr>
      <w:rFonts w:ascii="Cambria" w:hAnsi="Cambria" w:eastAsia="黑体" w:cs="Times New Roman"/>
      <w:b/>
      <w:bCs/>
      <w:szCs w:val="32"/>
      <w14:ligatures w14:val="none"/>
    </w:rPr>
  </w:style>
  <w:style w:type="character" w:customStyle="1" w:styleId="50">
    <w:name w:val="标题 3 字符"/>
    <w:basedOn w:val="39"/>
    <w:link w:val="4"/>
    <w:uiPriority w:val="0"/>
    <w:rPr>
      <w:rFonts w:ascii="宋体" w:hAnsi="宋体" w:eastAsia="宋体" w:cs="Times New Roman"/>
      <w:b/>
      <w:kern w:val="0"/>
      <w:sz w:val="27"/>
      <w:szCs w:val="27"/>
      <w14:ligatures w14:val="none"/>
    </w:rPr>
  </w:style>
  <w:style w:type="character" w:customStyle="1" w:styleId="51">
    <w:name w:val="标题 4 字符"/>
    <w:basedOn w:val="39"/>
    <w:link w:val="5"/>
    <w:uiPriority w:val="0"/>
    <w:rPr>
      <w:rFonts w:ascii="Arial" w:hAnsi="Arial" w:eastAsia="宋体" w:cs="Times New Roman"/>
      <w:b/>
      <w:bCs/>
      <w:sz w:val="28"/>
      <w:szCs w:val="28"/>
      <w14:ligatures w14:val="none"/>
    </w:rPr>
  </w:style>
  <w:style w:type="character" w:customStyle="1" w:styleId="52">
    <w:name w:val="标题 5 字符"/>
    <w:basedOn w:val="39"/>
    <w:link w:val="6"/>
    <w:qFormat/>
    <w:uiPriority w:val="0"/>
    <w:rPr>
      <w:rFonts w:ascii="Calibri" w:hAnsi="Calibri" w:eastAsia="宋体" w:cs="Times New Roman"/>
      <w:b/>
      <w:sz w:val="28"/>
      <w:szCs w:val="24"/>
      <w14:ligatures w14:val="none"/>
    </w:rPr>
  </w:style>
  <w:style w:type="character" w:customStyle="1" w:styleId="53">
    <w:name w:val="标题 6 字符"/>
    <w:basedOn w:val="39"/>
    <w:link w:val="8"/>
    <w:uiPriority w:val="0"/>
    <w:rPr>
      <w:rFonts w:ascii="Arial" w:hAnsi="Arial" w:eastAsia="黑体" w:cs="Times New Roman"/>
      <w:b/>
      <w:sz w:val="24"/>
      <w:szCs w:val="24"/>
      <w14:ligatures w14:val="none"/>
    </w:rPr>
  </w:style>
  <w:style w:type="character" w:customStyle="1" w:styleId="54">
    <w:name w:val="标题 7 字符"/>
    <w:basedOn w:val="39"/>
    <w:link w:val="9"/>
    <w:uiPriority w:val="0"/>
    <w:rPr>
      <w:rFonts w:ascii="Calibri" w:hAnsi="Calibri" w:eastAsia="宋体" w:cs="Times New Roman"/>
      <w:b/>
      <w:sz w:val="24"/>
      <w:szCs w:val="24"/>
      <w14:ligatures w14:val="none"/>
    </w:rPr>
  </w:style>
  <w:style w:type="character" w:customStyle="1" w:styleId="55">
    <w:name w:val="标题 8 字符"/>
    <w:basedOn w:val="39"/>
    <w:link w:val="10"/>
    <w:uiPriority w:val="0"/>
    <w:rPr>
      <w:rFonts w:ascii="Arial" w:hAnsi="Arial" w:eastAsia="黑体" w:cs="Times New Roman"/>
      <w:sz w:val="24"/>
      <w:szCs w:val="24"/>
      <w14:ligatures w14:val="none"/>
    </w:rPr>
  </w:style>
  <w:style w:type="character" w:customStyle="1" w:styleId="56">
    <w:name w:val="标题 9 字符"/>
    <w:basedOn w:val="39"/>
    <w:link w:val="11"/>
    <w:autoRedefine/>
    <w:uiPriority w:val="0"/>
    <w:rPr>
      <w:rFonts w:ascii="Arial" w:hAnsi="Arial" w:eastAsia="黑体" w:cs="Times New Roman"/>
      <w:szCs w:val="24"/>
      <w14:ligatures w14:val="none"/>
    </w:rPr>
  </w:style>
  <w:style w:type="character" w:customStyle="1" w:styleId="57">
    <w:name w:val="bus_type_0"/>
    <w:autoRedefine/>
    <w:uiPriority w:val="0"/>
    <w:rPr>
      <w:shd w:val="clear" w:color="auto" w:fill="FF8853"/>
    </w:rPr>
  </w:style>
  <w:style w:type="character" w:customStyle="1" w:styleId="58">
    <w:name w:val="linebg_on1"/>
    <w:basedOn w:val="39"/>
    <w:autoRedefine/>
    <w:uiPriority w:val="0"/>
  </w:style>
  <w:style w:type="character" w:customStyle="1" w:styleId="59">
    <w:name w:val="普通文字 Char Char2"/>
    <w:qFormat/>
    <w:uiPriority w:val="0"/>
    <w:rPr>
      <w:rFonts w:ascii="宋体" w:hAnsi="Courier New" w:eastAsia="宋体"/>
      <w:kern w:val="2"/>
      <w:sz w:val="21"/>
      <w:lang w:val="en-US" w:eastAsia="zh-CN" w:bidi="ar-SA"/>
    </w:rPr>
  </w:style>
  <w:style w:type="character" w:customStyle="1" w:styleId="60">
    <w:name w:val="1ji Char"/>
    <w:link w:val="61"/>
    <w:autoRedefine/>
    <w:uiPriority w:val="0"/>
    <w:rPr>
      <w:rFonts w:ascii="宋体" w:hAnsi="宋体" w:eastAsia="宋体"/>
      <w:b/>
      <w:bCs/>
      <w:kern w:val="44"/>
      <w:sz w:val="36"/>
      <w:szCs w:val="44"/>
    </w:rPr>
  </w:style>
  <w:style w:type="paragraph" w:customStyle="1" w:styleId="61">
    <w:name w:val="1ji"/>
    <w:basedOn w:val="2"/>
    <w:link w:val="60"/>
    <w:uiPriority w:val="0"/>
    <w:pPr>
      <w:keepLines w:val="0"/>
      <w:widowControl/>
      <w:spacing w:before="0" w:after="0" w:line="240" w:lineRule="auto"/>
      <w:jc w:val="center"/>
    </w:pPr>
    <w:rPr>
      <w:rFonts w:ascii="宋体" w:hAnsi="宋体" w:cstheme="minorBidi"/>
      <w:sz w:val="36"/>
      <w14:ligatures w14:val="standardContextual"/>
    </w:rPr>
  </w:style>
  <w:style w:type="character" w:customStyle="1" w:styleId="62">
    <w:name w:val="批注文字 Char"/>
    <w:qFormat/>
    <w:uiPriority w:val="0"/>
    <w:rPr>
      <w:kern w:val="2"/>
      <w:sz w:val="21"/>
      <w:szCs w:val="24"/>
    </w:rPr>
  </w:style>
  <w:style w:type="character" w:customStyle="1" w:styleId="63">
    <w:name w:val="linebg1"/>
    <w:basedOn w:val="39"/>
    <w:uiPriority w:val="0"/>
  </w:style>
  <w:style w:type="character" w:customStyle="1" w:styleId="64">
    <w:name w:val="脚注文本 字符"/>
    <w:qFormat/>
    <w:uiPriority w:val="0"/>
    <w:rPr>
      <w:kern w:val="2"/>
      <w:sz w:val="18"/>
      <w:szCs w:val="18"/>
    </w:rPr>
  </w:style>
  <w:style w:type="character" w:customStyle="1" w:styleId="65">
    <w:name w:val="脚注文本 字符1"/>
    <w:link w:val="30"/>
    <w:qFormat/>
    <w:uiPriority w:val="0"/>
    <w:rPr>
      <w:rFonts w:ascii="Times New Roman" w:hAnsi="Times New Roman"/>
      <w:sz w:val="18"/>
      <w:szCs w:val="24"/>
    </w:rPr>
  </w:style>
  <w:style w:type="character" w:customStyle="1" w:styleId="66">
    <w:name w:val="displayarti"/>
    <w:autoRedefine/>
    <w:uiPriority w:val="0"/>
    <w:rPr>
      <w:color w:val="FFFFFF"/>
      <w:shd w:val="clear" w:color="auto" w:fill="A00000"/>
    </w:rPr>
  </w:style>
  <w:style w:type="character" w:customStyle="1" w:styleId="67">
    <w:name w:val="纯文本 Char1"/>
    <w:uiPriority w:val="99"/>
    <w:rPr>
      <w:rFonts w:ascii="宋体" w:hAnsi="Courier New" w:eastAsia="宋体" w:cs="Courier New"/>
      <w:kern w:val="2"/>
      <w:sz w:val="21"/>
      <w:szCs w:val="21"/>
      <w:lang w:val="en-US" w:eastAsia="zh-CN" w:bidi="ar-SA"/>
    </w:rPr>
  </w:style>
  <w:style w:type="character" w:customStyle="1" w:styleId="68">
    <w:name w:val="ts_tip_2"/>
    <w:uiPriority w:val="0"/>
    <w:rPr>
      <w:color w:val="E43023"/>
    </w:rPr>
  </w:style>
  <w:style w:type="character" w:customStyle="1" w:styleId="69">
    <w:name w:val="map_taglist"/>
    <w:autoRedefine/>
    <w:uiPriority w:val="0"/>
    <w:rPr>
      <w:color w:val="666666"/>
    </w:rPr>
  </w:style>
  <w:style w:type="character" w:customStyle="1" w:styleId="70">
    <w:name w:val="hover42"/>
    <w:autoRedefine/>
    <w:uiPriority w:val="0"/>
    <w:rPr>
      <w:bdr w:val="single" w:color="999999" w:sz="6" w:space="0"/>
    </w:rPr>
  </w:style>
  <w:style w:type="character" w:customStyle="1" w:styleId="71">
    <w:name w:val="标题 字符"/>
    <w:link w:val="36"/>
    <w:qFormat/>
    <w:uiPriority w:val="0"/>
    <w:rPr>
      <w:rFonts w:ascii="Cambria" w:hAnsi="Cambria" w:cs="Times New Roman"/>
      <w:b/>
      <w:bCs/>
      <w:sz w:val="32"/>
      <w:szCs w:val="32"/>
    </w:rPr>
  </w:style>
  <w:style w:type="character" w:customStyle="1" w:styleId="72">
    <w:name w:val="bus_type_3"/>
    <w:autoRedefine/>
    <w:uiPriority w:val="0"/>
    <w:rPr>
      <w:shd w:val="clear" w:color="auto" w:fill="43CC8D"/>
    </w:rPr>
  </w:style>
  <w:style w:type="character" w:customStyle="1" w:styleId="73">
    <w:name w:val="批注主题 字符"/>
    <w:link w:val="37"/>
    <w:qFormat/>
    <w:uiPriority w:val="0"/>
    <w:rPr>
      <w:b/>
      <w:bCs/>
      <w:szCs w:val="21"/>
    </w:rPr>
  </w:style>
  <w:style w:type="character" w:customStyle="1" w:styleId="74">
    <w:name w:val="gjfg"/>
    <w:basedOn w:val="39"/>
    <w:uiPriority w:val="0"/>
  </w:style>
  <w:style w:type="character" w:customStyle="1" w:styleId="75">
    <w:name w:val="16"/>
    <w:uiPriority w:val="0"/>
    <w:rPr>
      <w:rFonts w:hint="default" w:ascii="Times New Roman" w:hAnsi="Times New Roman" w:cs="Times New Roman"/>
      <w:b/>
    </w:rPr>
  </w:style>
  <w:style w:type="character" w:customStyle="1" w:styleId="76">
    <w:name w:val="自定义标题一 Char"/>
    <w:link w:val="77"/>
    <w:qFormat/>
    <w:uiPriority w:val="0"/>
    <w:rPr>
      <w:rFonts w:ascii="黑体" w:hAnsi="黑体" w:eastAsia="黑体"/>
      <w:b/>
      <w:bCs/>
      <w:shadow/>
      <w:kern w:val="44"/>
      <w:sz w:val="44"/>
      <w:szCs w:val="44"/>
    </w:rPr>
  </w:style>
  <w:style w:type="paragraph" w:customStyle="1" w:styleId="77">
    <w:name w:val="自定义标题一"/>
    <w:basedOn w:val="2"/>
    <w:link w:val="76"/>
    <w:qFormat/>
    <w:uiPriority w:val="0"/>
    <w:pPr>
      <w:pageBreakBefore/>
      <w:tabs>
        <w:tab w:val="left" w:pos="144"/>
      </w:tabs>
      <w:spacing w:before="0" w:after="0" w:line="360" w:lineRule="auto"/>
      <w:ind w:left="144" w:hanging="144"/>
      <w:jc w:val="center"/>
    </w:pPr>
    <w:rPr>
      <w:rFonts w:ascii="黑体" w:hAnsi="黑体" w:eastAsia="黑体" w:cstheme="minorBidi"/>
      <w:shadow/>
      <w14:ligatures w14:val="standardContextual"/>
    </w:rPr>
  </w:style>
  <w:style w:type="character" w:customStyle="1" w:styleId="78">
    <w:name w:val="bus_type_2"/>
    <w:qFormat/>
    <w:uiPriority w:val="0"/>
    <w:rPr>
      <w:shd w:val="clear" w:color="auto" w:fill="FF4141"/>
    </w:rPr>
  </w:style>
  <w:style w:type="character" w:customStyle="1" w:styleId="79">
    <w:name w:val="generalinfo-address-text1"/>
    <w:autoRedefine/>
    <w:uiPriority w:val="0"/>
    <w:rPr>
      <w:sz w:val="18"/>
      <w:szCs w:val="18"/>
    </w:rPr>
  </w:style>
  <w:style w:type="character" w:customStyle="1" w:styleId="80">
    <w:name w:val="apple-style-span"/>
    <w:uiPriority w:val="99"/>
  </w:style>
  <w:style w:type="character" w:customStyle="1" w:styleId="81">
    <w:name w:val="active3"/>
    <w:qFormat/>
    <w:uiPriority w:val="0"/>
    <w:rPr>
      <w:shd w:val="clear" w:color="auto" w:fill="FFFFFF"/>
    </w:rPr>
  </w:style>
  <w:style w:type="character" w:customStyle="1" w:styleId="82">
    <w:name w:val="bus_type_4"/>
    <w:autoRedefine/>
    <w:uiPriority w:val="0"/>
    <w:rPr>
      <w:shd w:val="clear" w:color="auto" w:fill="333F89"/>
    </w:rPr>
  </w:style>
  <w:style w:type="character" w:customStyle="1" w:styleId="83">
    <w:name w:val="纯文本 字符"/>
    <w:qFormat/>
    <w:uiPriority w:val="0"/>
    <w:rPr>
      <w:rFonts w:ascii="宋体" w:hAnsi="Courier New" w:eastAsia="宋体" w:cs="Courier New"/>
      <w:kern w:val="2"/>
      <w:sz w:val="21"/>
      <w:szCs w:val="21"/>
      <w:lang w:val="en-US" w:eastAsia="zh-CN" w:bidi="ar-SA"/>
    </w:rPr>
  </w:style>
  <w:style w:type="character" w:customStyle="1" w:styleId="84">
    <w:name w:val="font21"/>
    <w:qFormat/>
    <w:uiPriority w:val="0"/>
    <w:rPr>
      <w:rFonts w:hint="default" w:ascii="Times New Roman" w:hAnsi="Times New Roman" w:cs="Times New Roman"/>
      <w:color w:val="000000"/>
      <w:sz w:val="21"/>
      <w:szCs w:val="21"/>
      <w:u w:val="none"/>
    </w:rPr>
  </w:style>
  <w:style w:type="character" w:customStyle="1" w:styleId="85">
    <w:name w:val="批注文字 字符"/>
    <w:link w:val="15"/>
    <w:qFormat/>
    <w:uiPriority w:val="0"/>
    <w:rPr>
      <w:rFonts w:ascii="Times New Roman" w:hAnsi="Times New Roman" w:cs="Times New Roman"/>
      <w:szCs w:val="21"/>
    </w:rPr>
  </w:style>
  <w:style w:type="character" w:customStyle="1" w:styleId="86">
    <w:name w:val="正文文本缩进 字符"/>
    <w:link w:val="18"/>
    <w:qFormat/>
    <w:uiPriority w:val="0"/>
    <w:rPr>
      <w:rFonts w:ascii="仿宋_GB2312" w:eastAsia="仿宋_GB2312"/>
      <w:sz w:val="32"/>
    </w:rPr>
  </w:style>
  <w:style w:type="character" w:customStyle="1" w:styleId="87">
    <w:name w:val="redfilefwwh"/>
    <w:uiPriority w:val="0"/>
    <w:rPr>
      <w:color w:val="BA2636"/>
      <w:sz w:val="18"/>
      <w:szCs w:val="18"/>
    </w:rPr>
  </w:style>
  <w:style w:type="character" w:customStyle="1" w:styleId="88">
    <w:name w:val="linebg"/>
    <w:basedOn w:val="39"/>
    <w:uiPriority w:val="0"/>
  </w:style>
  <w:style w:type="character" w:customStyle="1" w:styleId="89">
    <w:name w:val="普通文字 Char Char3"/>
    <w:autoRedefine/>
    <w:uiPriority w:val="0"/>
    <w:rPr>
      <w:rFonts w:ascii="宋体" w:hAnsi="Courier New" w:eastAsia="宋体" w:cs="Courier New"/>
      <w:kern w:val="2"/>
      <w:sz w:val="21"/>
      <w:szCs w:val="21"/>
      <w:lang w:val="en-US" w:eastAsia="zh-CN" w:bidi="ar-SA"/>
    </w:rPr>
  </w:style>
  <w:style w:type="character" w:customStyle="1" w:styleId="90">
    <w:name w:val="qxdate"/>
    <w:autoRedefine/>
    <w:uiPriority w:val="0"/>
    <w:rPr>
      <w:color w:val="333333"/>
      <w:sz w:val="18"/>
      <w:szCs w:val="18"/>
    </w:rPr>
  </w:style>
  <w:style w:type="character" w:customStyle="1" w:styleId="91">
    <w:name w:val="input_span11"/>
    <w:autoRedefine/>
    <w:uiPriority w:val="0"/>
  </w:style>
  <w:style w:type="character" w:customStyle="1" w:styleId="92">
    <w:name w:val="time_dis"/>
    <w:basedOn w:val="39"/>
    <w:autoRedefine/>
    <w:uiPriority w:val="0"/>
  </w:style>
  <w:style w:type="character" w:customStyle="1" w:styleId="93">
    <w:name w:val="样式1 Char"/>
    <w:link w:val="94"/>
    <w:uiPriority w:val="0"/>
    <w:rPr>
      <w:rFonts w:eastAsia="宋体"/>
      <w:szCs w:val="24"/>
    </w:rPr>
  </w:style>
  <w:style w:type="paragraph" w:customStyle="1" w:styleId="94">
    <w:name w:val="样式1"/>
    <w:basedOn w:val="1"/>
    <w:link w:val="93"/>
    <w:uiPriority w:val="0"/>
    <w:rPr>
      <w:rFonts w:asciiTheme="minorHAnsi" w:hAnsiTheme="minorHAnsi" w:cstheme="minorBidi"/>
      <w14:ligatures w14:val="standardContextual"/>
    </w:rPr>
  </w:style>
  <w:style w:type="character" w:customStyle="1" w:styleId="95">
    <w:name w:val="纯文本 字符1"/>
    <w:link w:val="22"/>
    <w:qFormat/>
    <w:uiPriority w:val="99"/>
    <w:rPr>
      <w:rFonts w:ascii="宋体" w:hAnsi="Courier New" w:eastAsia="宋体" w:cs="Courier New"/>
      <w:szCs w:val="21"/>
    </w:rPr>
  </w:style>
  <w:style w:type="character" w:customStyle="1" w:styleId="96">
    <w:name w:val="正文文本 字符"/>
    <w:link w:val="17"/>
    <w:uiPriority w:val="0"/>
    <w:rPr>
      <w:sz w:val="24"/>
      <w:szCs w:val="24"/>
    </w:rPr>
  </w:style>
  <w:style w:type="character" w:customStyle="1" w:styleId="97">
    <w:name w:val="curpage"/>
    <w:uiPriority w:val="0"/>
    <w:rPr>
      <w:b/>
    </w:rPr>
  </w:style>
  <w:style w:type="character" w:customStyle="1" w:styleId="98">
    <w:name w:val="active4"/>
    <w:qFormat/>
    <w:uiPriority w:val="0"/>
    <w:rPr>
      <w:shd w:val="clear" w:color="auto" w:fill="FFFFFF"/>
    </w:rPr>
  </w:style>
  <w:style w:type="character" w:customStyle="1" w:styleId="99">
    <w:name w:val="cfdate"/>
    <w:qFormat/>
    <w:uiPriority w:val="0"/>
    <w:rPr>
      <w:color w:val="333333"/>
      <w:sz w:val="18"/>
      <w:szCs w:val="18"/>
    </w:rPr>
  </w:style>
  <w:style w:type="character" w:customStyle="1" w:styleId="100">
    <w:name w:val="redfilenumber"/>
    <w:autoRedefine/>
    <w:uiPriority w:val="0"/>
    <w:rPr>
      <w:color w:val="BA2636"/>
      <w:sz w:val="18"/>
      <w:szCs w:val="18"/>
    </w:rPr>
  </w:style>
  <w:style w:type="character" w:customStyle="1" w:styleId="101">
    <w:name w:val="bus_type_tip"/>
    <w:uiPriority w:val="0"/>
    <w:rPr>
      <w:color w:val="FFFFFF"/>
      <w:sz w:val="18"/>
      <w:szCs w:val="18"/>
    </w:rPr>
  </w:style>
  <w:style w:type="character" w:customStyle="1" w:styleId="102">
    <w:name w:val="ts_tip_1"/>
    <w:uiPriority w:val="0"/>
    <w:rPr>
      <w:color w:val="468B02"/>
    </w:rPr>
  </w:style>
  <w:style w:type="character" w:customStyle="1" w:styleId="103">
    <w:name w:val="linebg_on"/>
    <w:basedOn w:val="39"/>
    <w:uiPriority w:val="0"/>
  </w:style>
  <w:style w:type="character" w:customStyle="1" w:styleId="104">
    <w:name w:val="正文文本缩进 3 字符"/>
    <w:basedOn w:val="39"/>
    <w:link w:val="31"/>
    <w:autoRedefine/>
    <w:uiPriority w:val="0"/>
    <w:rPr>
      <w:rFonts w:ascii="Calibri" w:hAnsi="Calibri" w:eastAsia="宋体" w:cs="Times New Roman"/>
      <w:sz w:val="16"/>
      <w:szCs w:val="16"/>
      <w14:ligatures w14:val="none"/>
    </w:rPr>
  </w:style>
  <w:style w:type="character" w:customStyle="1" w:styleId="105">
    <w:name w:val="日期 字符"/>
    <w:basedOn w:val="39"/>
    <w:link w:val="23"/>
    <w:qFormat/>
    <w:uiPriority w:val="0"/>
    <w:rPr>
      <w:rFonts w:ascii="宋体" w:hAnsi="Courier New" w:eastAsia="宋体" w:cs="Courier New"/>
      <w:szCs w:val="21"/>
      <w14:ligatures w14:val="none"/>
    </w:rPr>
  </w:style>
  <w:style w:type="character" w:customStyle="1" w:styleId="106">
    <w:name w:val="正文文本缩进 字符1"/>
    <w:basedOn w:val="39"/>
    <w:autoRedefine/>
    <w:semiHidden/>
    <w:qFormat/>
    <w:uiPriority w:val="99"/>
    <w:rPr>
      <w:rFonts w:ascii="Calibri" w:hAnsi="Calibri" w:eastAsia="宋体" w:cs="Times New Roman"/>
      <w:szCs w:val="24"/>
      <w14:ligatures w14:val="none"/>
    </w:rPr>
  </w:style>
  <w:style w:type="character" w:customStyle="1" w:styleId="107">
    <w:name w:val="批注文字 字符1"/>
    <w:basedOn w:val="39"/>
    <w:autoRedefine/>
    <w:semiHidden/>
    <w:qFormat/>
    <w:uiPriority w:val="99"/>
    <w:rPr>
      <w:rFonts w:ascii="Calibri" w:hAnsi="Calibri" w:eastAsia="宋体" w:cs="Times New Roman"/>
      <w:szCs w:val="24"/>
      <w14:ligatures w14:val="none"/>
    </w:rPr>
  </w:style>
  <w:style w:type="character" w:customStyle="1" w:styleId="108">
    <w:name w:val="正文文本 2 字符"/>
    <w:basedOn w:val="39"/>
    <w:link w:val="33"/>
    <w:uiPriority w:val="0"/>
    <w:rPr>
      <w:rFonts w:ascii="Calibri" w:hAnsi="Calibri" w:eastAsia="宋体" w:cs="Times New Roman"/>
      <w:szCs w:val="24"/>
      <w14:ligatures w14:val="none"/>
    </w:rPr>
  </w:style>
  <w:style w:type="character" w:customStyle="1" w:styleId="109">
    <w:name w:val="正文文本缩进 2 字符"/>
    <w:basedOn w:val="39"/>
    <w:link w:val="24"/>
    <w:autoRedefine/>
    <w:qFormat/>
    <w:uiPriority w:val="0"/>
    <w:rPr>
      <w:rFonts w:ascii="Calibri" w:hAnsi="Calibri" w:eastAsia="宋体" w:cs="Times New Roman"/>
      <w:sz w:val="32"/>
      <w:szCs w:val="20"/>
      <w14:ligatures w14:val="none"/>
    </w:rPr>
  </w:style>
  <w:style w:type="character" w:customStyle="1" w:styleId="110">
    <w:name w:val="纯文本 字符2"/>
    <w:basedOn w:val="39"/>
    <w:semiHidden/>
    <w:uiPriority w:val="99"/>
    <w:rPr>
      <w:rFonts w:hAnsi="Courier New" w:cs="Courier New" w:asciiTheme="minorEastAsia"/>
      <w:szCs w:val="24"/>
      <w14:ligatures w14:val="none"/>
    </w:rPr>
  </w:style>
  <w:style w:type="character" w:customStyle="1" w:styleId="111">
    <w:name w:val="正文文本 3 字符"/>
    <w:basedOn w:val="39"/>
    <w:link w:val="16"/>
    <w:uiPriority w:val="0"/>
    <w:rPr>
      <w:rFonts w:ascii="Calibri" w:hAnsi="Calibri" w:eastAsia="宋体" w:cs="Times New Roman"/>
      <w:b/>
      <w:bCs/>
      <w:sz w:val="24"/>
      <w:szCs w:val="24"/>
      <w14:ligatures w14:val="none"/>
    </w:rPr>
  </w:style>
  <w:style w:type="character" w:customStyle="1" w:styleId="112">
    <w:name w:val="标题 字符1"/>
    <w:basedOn w:val="39"/>
    <w:uiPriority w:val="10"/>
    <w:rPr>
      <w:rFonts w:asciiTheme="majorHAnsi" w:hAnsiTheme="majorHAnsi" w:eastAsiaTheme="majorEastAsia" w:cstheme="majorBidi"/>
      <w:b/>
      <w:bCs/>
      <w:sz w:val="32"/>
      <w:szCs w:val="32"/>
      <w14:ligatures w14:val="none"/>
    </w:rPr>
  </w:style>
  <w:style w:type="character" w:customStyle="1" w:styleId="113">
    <w:name w:val="批注框文本 字符"/>
    <w:basedOn w:val="39"/>
    <w:link w:val="25"/>
    <w:semiHidden/>
    <w:uiPriority w:val="0"/>
    <w:rPr>
      <w:rFonts w:ascii="Calibri" w:hAnsi="Calibri" w:eastAsia="宋体" w:cs="Times New Roman"/>
      <w:sz w:val="18"/>
      <w:szCs w:val="18"/>
      <w14:ligatures w14:val="none"/>
    </w:rPr>
  </w:style>
  <w:style w:type="character" w:customStyle="1" w:styleId="114">
    <w:name w:val="脚注文本 字符2"/>
    <w:basedOn w:val="39"/>
    <w:semiHidden/>
    <w:uiPriority w:val="99"/>
    <w:rPr>
      <w:rFonts w:ascii="Calibri" w:hAnsi="Calibri" w:eastAsia="宋体" w:cs="Times New Roman"/>
      <w:sz w:val="18"/>
      <w:szCs w:val="18"/>
      <w14:ligatures w14:val="none"/>
    </w:rPr>
  </w:style>
  <w:style w:type="character" w:customStyle="1" w:styleId="115">
    <w:name w:val="文档结构图 字符"/>
    <w:basedOn w:val="39"/>
    <w:link w:val="14"/>
    <w:autoRedefine/>
    <w:semiHidden/>
    <w:qFormat/>
    <w:uiPriority w:val="0"/>
    <w:rPr>
      <w:rFonts w:ascii="Calibri" w:hAnsi="Calibri" w:eastAsia="宋体" w:cs="Times New Roman"/>
      <w:szCs w:val="24"/>
      <w:shd w:val="clear" w:color="auto" w:fill="000080"/>
      <w14:ligatures w14:val="none"/>
    </w:rPr>
  </w:style>
  <w:style w:type="character" w:customStyle="1" w:styleId="116">
    <w:name w:val="正文文本 字符1"/>
    <w:basedOn w:val="39"/>
    <w:autoRedefine/>
    <w:semiHidden/>
    <w:qFormat/>
    <w:uiPriority w:val="99"/>
    <w:rPr>
      <w:rFonts w:ascii="Calibri" w:hAnsi="Calibri" w:eastAsia="宋体" w:cs="Times New Roman"/>
      <w:szCs w:val="24"/>
      <w14:ligatures w14:val="none"/>
    </w:rPr>
  </w:style>
  <w:style w:type="character" w:customStyle="1" w:styleId="117">
    <w:name w:val="批注主题 字符1"/>
    <w:basedOn w:val="107"/>
    <w:semiHidden/>
    <w:uiPriority w:val="99"/>
    <w:rPr>
      <w:rFonts w:ascii="Calibri" w:hAnsi="Calibri" w:eastAsia="宋体" w:cs="Times New Roman"/>
      <w:b/>
      <w:bCs/>
      <w:szCs w:val="24"/>
      <w14:ligatures w14:val="none"/>
    </w:rPr>
  </w:style>
  <w:style w:type="paragraph" w:customStyle="1" w:styleId="118">
    <w:name w:val="表内文字"/>
    <w:basedOn w:val="1"/>
    <w:uiPriority w:val="0"/>
    <w:pPr>
      <w:snapToGrid w:val="0"/>
      <w:spacing w:before="50" w:after="50"/>
      <w:jc w:val="center"/>
    </w:pPr>
    <w:rPr>
      <w:rFonts w:ascii="仿宋_GB2312" w:hAnsi="宋体" w:eastAsia="仿宋_GB2312"/>
      <w:b/>
      <w:color w:val="000000"/>
      <w:sz w:val="32"/>
      <w:szCs w:val="32"/>
    </w:rPr>
  </w:style>
  <w:style w:type="paragraph" w:customStyle="1" w:styleId="119">
    <w:name w:val="列表段落1"/>
    <w:basedOn w:val="1"/>
    <w:qFormat/>
    <w:uiPriority w:val="34"/>
    <w:pPr>
      <w:widowControl/>
      <w:ind w:firstLine="420" w:firstLineChars="200"/>
      <w:jc w:val="left"/>
    </w:pPr>
    <w:rPr>
      <w:rFonts w:ascii="宋体" w:hAnsi="宋体" w:cs="宋体"/>
      <w:kern w:val="0"/>
    </w:rPr>
  </w:style>
  <w:style w:type="paragraph" w:customStyle="1" w:styleId="120">
    <w:name w:val="默认段落字体 Para Char Char Char Char Char Char Char Char Char1 Char Char Char Char"/>
    <w:basedOn w:val="1"/>
    <w:uiPriority w:val="0"/>
    <w:rPr>
      <w:rFonts w:ascii="Tahoma" w:hAnsi="Tahoma"/>
      <w:sz w:val="24"/>
      <w:szCs w:val="20"/>
    </w:rPr>
  </w:style>
  <w:style w:type="paragraph" w:customStyle="1" w:styleId="121">
    <w:name w:val="投标文件格式"/>
    <w:basedOn w:val="1"/>
    <w:qFormat/>
    <w:uiPriority w:val="0"/>
    <w:pPr>
      <w:autoSpaceDE w:val="0"/>
      <w:autoSpaceDN w:val="0"/>
      <w:adjustRightInd w:val="0"/>
      <w:snapToGrid w:val="0"/>
      <w:spacing w:line="360" w:lineRule="auto"/>
      <w:ind w:firstLine="560" w:firstLineChars="200"/>
      <w:jc w:val="left"/>
    </w:pPr>
    <w:rPr>
      <w:rFonts w:ascii="仿宋_GB2312" w:hAnsi="宋体" w:eastAsia="仿宋_GB2312" w:cs="SimSun,Bold"/>
      <w:kern w:val="0"/>
      <w:sz w:val="28"/>
      <w:szCs w:val="28"/>
    </w:rPr>
  </w:style>
  <w:style w:type="paragraph" w:customStyle="1" w:styleId="122">
    <w:name w:val="_Style 35"/>
    <w:basedOn w:val="14"/>
    <w:uiPriority w:val="0"/>
    <w:pPr>
      <w:widowControl/>
      <w:ind w:firstLine="454"/>
      <w:jc w:val="left"/>
    </w:pPr>
  </w:style>
  <w:style w:type="paragraph" w:customStyle="1" w:styleId="123">
    <w:name w:val="Char"/>
    <w:basedOn w:val="14"/>
    <w:uiPriority w:val="0"/>
    <w:pPr>
      <w:widowControl/>
      <w:ind w:firstLine="454"/>
      <w:jc w:val="left"/>
    </w:pPr>
    <w:rPr>
      <w:rFonts w:ascii="Tahoma" w:hAnsi="Tahoma" w:cs="宋体"/>
      <w:kern w:val="0"/>
      <w:sz w:val="24"/>
      <w:szCs w:val="20"/>
    </w:rPr>
  </w:style>
  <w:style w:type="paragraph" w:customStyle="1" w:styleId="124">
    <w:name w:val="1"/>
    <w:basedOn w:val="1"/>
    <w:next w:val="22"/>
    <w:uiPriority w:val="0"/>
    <w:rPr>
      <w:rFonts w:ascii="宋体" w:hAnsi="Courier New"/>
      <w:szCs w:val="20"/>
    </w:rPr>
  </w:style>
  <w:style w:type="paragraph" w:customStyle="1" w:styleId="125">
    <w:name w:val="Revision"/>
    <w:unhideWhenUsed/>
    <w:uiPriority w:val="99"/>
    <w:rPr>
      <w:rFonts w:ascii="Calibri" w:hAnsi="Calibri" w:eastAsia="宋体" w:cs="Times New Roman"/>
      <w:kern w:val="2"/>
      <w:sz w:val="21"/>
      <w:szCs w:val="24"/>
      <w:lang w:val="en-US" w:eastAsia="zh-CN" w:bidi="ar-SA"/>
      <w14:ligatures w14:val="none"/>
    </w:rPr>
  </w:style>
  <w:style w:type="paragraph" w:customStyle="1" w:styleId="126">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7">
    <w:name w:val="正文段"/>
    <w:basedOn w:val="1"/>
    <w:uiPriority w:val="0"/>
    <w:pPr>
      <w:widowControl/>
      <w:snapToGrid w:val="0"/>
      <w:spacing w:after="156" w:afterLines="50"/>
      <w:ind w:firstLine="200" w:firstLineChars="200"/>
    </w:pPr>
    <w:rPr>
      <w:kern w:val="0"/>
      <w:sz w:val="24"/>
      <w:szCs w:val="20"/>
    </w:rPr>
  </w:style>
  <w:style w:type="paragraph" w:customStyle="1" w:styleId="128">
    <w:name w:val="Legal_L2"/>
    <w:basedOn w:val="1"/>
    <w:qFormat/>
    <w:uiPriority w:val="0"/>
    <w:pPr>
      <w:widowControl/>
      <w:spacing w:after="240" w:line="259" w:lineRule="auto"/>
      <w:jc w:val="left"/>
      <w:outlineLvl w:val="1"/>
    </w:pPr>
    <w:rPr>
      <w:rFonts w:ascii="Times New Roman" w:hAnsi="Times New Roman"/>
      <w:kern w:val="0"/>
      <w:sz w:val="24"/>
      <w:lang w:eastAsia="en-US"/>
    </w:rPr>
  </w:style>
  <w:style w:type="paragraph" w:customStyle="1" w:styleId="129">
    <w:name w:val="01 正文-首行缩进2字符"/>
    <w:basedOn w:val="1"/>
    <w:qFormat/>
    <w:uiPriority w:val="0"/>
    <w:pPr>
      <w:spacing w:beforeLines="50" w:afterLines="50" w:line="360" w:lineRule="auto"/>
      <w:ind w:firstLine="964" w:firstLineChars="200"/>
    </w:pPr>
    <w:rPr>
      <w:rFonts w:ascii="Arial" w:hAnsi="Arial" w:eastAsia="华文仿宋"/>
      <w:color w:val="000000"/>
      <w:sz w:val="28"/>
    </w:rPr>
  </w:style>
  <w:style w:type="paragraph" w:customStyle="1" w:styleId="130">
    <w:name w:val="Char1"/>
    <w:basedOn w:val="14"/>
    <w:uiPriority w:val="0"/>
    <w:pPr>
      <w:widowControl/>
      <w:ind w:firstLine="454"/>
      <w:jc w:val="left"/>
    </w:pPr>
    <w:rPr>
      <w:rFonts w:ascii="Tahoma" w:hAnsi="Tahoma" w:cs="宋体"/>
      <w:kern w:val="0"/>
      <w:sz w:val="24"/>
      <w:szCs w:val="20"/>
    </w:rPr>
  </w:style>
  <w:style w:type="paragraph" w:customStyle="1" w:styleId="131">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2">
    <w:name w:val="A方案正文"/>
    <w:basedOn w:val="1"/>
    <w:qFormat/>
    <w:uiPriority w:val="0"/>
    <w:pPr>
      <w:adjustRightInd w:val="0"/>
      <w:snapToGrid w:val="0"/>
      <w:spacing w:line="360" w:lineRule="auto"/>
      <w:ind w:firstLine="200" w:firstLineChars="200"/>
    </w:pPr>
    <w:rPr>
      <w:rFonts w:ascii="方正仿宋_GBK" w:hAnsi="方正仿宋_GBK" w:eastAsia="华文仿宋"/>
      <w:sz w:val="28"/>
    </w:rPr>
  </w:style>
  <w:style w:type="paragraph" w:customStyle="1" w:styleId="133">
    <w:name w:val="表格文字"/>
    <w:basedOn w:val="1"/>
    <w:qFormat/>
    <w:uiPriority w:val="0"/>
    <w:pPr>
      <w:spacing w:before="25" w:after="25"/>
      <w:jc w:val="left"/>
    </w:pPr>
    <w:rPr>
      <w:bCs/>
      <w:spacing w:val="10"/>
      <w:kern w:val="0"/>
      <w:sz w:val="24"/>
      <w:szCs w:val="20"/>
    </w:rPr>
  </w:style>
  <w:style w:type="paragraph" w:styleId="134">
    <w:name w:val="List Paragraph"/>
    <w:basedOn w:val="1"/>
    <w:qFormat/>
    <w:uiPriority w:val="34"/>
    <w:pPr>
      <w:ind w:firstLine="420" w:firstLineChars="200"/>
    </w:pPr>
  </w:style>
  <w:style w:type="paragraph" w:customStyle="1" w:styleId="135">
    <w:name w:val="_Style 10"/>
    <w:basedOn w:val="1"/>
    <w:uiPriority w:val="0"/>
    <w:pPr>
      <w:ind w:firstLine="420" w:firstLineChars="200"/>
    </w:pPr>
    <w:rPr>
      <w:szCs w:val="20"/>
    </w:rPr>
  </w:style>
  <w:style w:type="paragraph" w:customStyle="1" w:styleId="136">
    <w:name w:val="列出段落1"/>
    <w:basedOn w:val="1"/>
    <w:qFormat/>
    <w:uiPriority w:val="0"/>
    <w:pPr>
      <w:spacing w:line="312" w:lineRule="auto"/>
      <w:ind w:firstLine="420" w:firstLineChars="200"/>
    </w:pPr>
  </w:style>
  <w:style w:type="paragraph" w:customStyle="1" w:styleId="137">
    <w:name w:val="_Style 3"/>
    <w:basedOn w:val="1"/>
    <w:qFormat/>
    <w:uiPriority w:val="0"/>
    <w:pPr>
      <w:spacing w:line="360" w:lineRule="auto"/>
    </w:pPr>
    <w:rPr>
      <w:rFonts w:ascii="方正仿宋_GBK" w:hAnsi="方正仿宋_GBK" w:eastAsia="华文仿宋"/>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config/weixin/wechat/users/duhuyaoxiaoye/message/cache/64491d7b8b16711fdb4fb4a4eb00da75/opendata/.config/weixin/wechat/users/duhuyaoxiaoye/message/cache/64491d7b8b16711fdb4fb4a4eb00da75/opendata/2024-04/" TargetMode="Externa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4857</Words>
  <Characters>27688</Characters>
  <Lines>230</Lines>
  <Paragraphs>64</Paragraphs>
  <TotalTime>169</TotalTime>
  <ScaleCrop>false</ScaleCrop>
  <LinksUpToDate>false</LinksUpToDate>
  <CharactersWithSpaces>32481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2024-04-23T10:21:00Z</dcterms:created>
  <dc:creator>H</dc:creator>
  <cp:lastModifiedBy>巫</cp:lastModifiedBy>
  <dcterms:modified xsi:type="dcterms:W3CDTF">2024-05-15T09:10:49Z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1C33C61FEBD347D7A13721EAA96FD9CC_12</vt:lpwstr>
  </property>
</Properties>
</file>