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8647">
      <w:pPr>
        <w:jc w:val="center"/>
        <w:rPr>
          <w:rFonts w:hint="eastAsia" w:ascii="宋体" w:hAnsi="宋体" w:cs="宋体"/>
          <w:color w:val="auto"/>
          <w:sz w:val="52"/>
          <w:szCs w:val="52"/>
          <w:highlight w:val="none"/>
        </w:rPr>
      </w:pPr>
    </w:p>
    <w:p w14:paraId="598EC9E6">
      <w:pPr>
        <w:spacing w:line="360" w:lineRule="auto"/>
        <w:jc w:val="center"/>
        <w:rPr>
          <w:rFonts w:hint="eastAsia"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14:paraId="201758EE">
      <w:pPr>
        <w:spacing w:before="156" w:beforeLines="50" w:line="240" w:lineRule="exact"/>
        <w:jc w:val="center"/>
        <w:rPr>
          <w:rFonts w:hint="eastAsia" w:ascii="宋体" w:hAnsi="宋体" w:cs="宋体"/>
          <w:color w:val="auto"/>
          <w:sz w:val="48"/>
          <w:szCs w:val="48"/>
          <w:highlight w:val="none"/>
        </w:rPr>
      </w:pPr>
    </w:p>
    <w:p w14:paraId="141AF578">
      <w:pPr>
        <w:spacing w:before="156"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5E866EC4">
      <w:pPr>
        <w:pStyle w:val="7"/>
        <w:snapToGrid w:val="0"/>
        <w:spacing w:before="120" w:after="120" w:line="360" w:lineRule="auto"/>
        <w:rPr>
          <w:rFonts w:hint="eastAsia" w:hAnsi="宋体" w:cs="宋体"/>
          <w:b/>
          <w:bCs/>
          <w:color w:val="auto"/>
          <w:sz w:val="30"/>
          <w:szCs w:val="30"/>
          <w:highlight w:val="none"/>
        </w:rPr>
      </w:pPr>
    </w:p>
    <w:p w14:paraId="24093A31">
      <w:pPr>
        <w:jc w:val="cente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INCLUDEPICTURE "C:\\Users\\ADMINI~1\\AppData\\Local\\Temp\\ksohtml576\\wps1.png" \* MERGEFORMATINET </w:instrText>
      </w:r>
      <w:r>
        <w:rPr>
          <w:rFonts w:hint="eastAsia" w:ascii="宋体" w:hAnsi="宋体" w:cs="宋体"/>
          <w:color w:val="auto"/>
          <w:highlight w:val="none"/>
        </w:rPr>
        <w:fldChar w:fldCharType="separate"/>
      </w:r>
      <w:r>
        <w:rPr>
          <w:rFonts w:hint="eastAsia" w:ascii="宋体" w:hAnsi="宋体" w:cs="宋体"/>
          <w:color w:val="auto"/>
          <w:highlight w:val="none"/>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10"/>
                    <a:stretch>
                      <a:fillRect/>
                    </a:stretch>
                  </pic:blipFill>
                  <pic:spPr>
                    <a:xfrm>
                      <a:off x="0" y="0"/>
                      <a:ext cx="2095500" cy="1599565"/>
                    </a:xfrm>
                    <a:prstGeom prst="rect">
                      <a:avLst/>
                    </a:prstGeom>
                    <a:noFill/>
                    <a:ln>
                      <a:noFill/>
                    </a:ln>
                  </pic:spPr>
                </pic:pic>
              </a:graphicData>
            </a:graphic>
          </wp:inline>
        </w:drawing>
      </w:r>
      <w:r>
        <w:rPr>
          <w:rFonts w:hint="eastAsia" w:ascii="宋体" w:hAnsi="宋体" w:cs="宋体"/>
          <w:color w:val="auto"/>
          <w:highlight w:val="none"/>
        </w:rPr>
        <w:fldChar w:fldCharType="end"/>
      </w:r>
    </w:p>
    <w:p w14:paraId="58C5DCA5">
      <w:pPr>
        <w:pStyle w:val="7"/>
        <w:snapToGrid w:val="0"/>
        <w:spacing w:before="120" w:after="120" w:line="500" w:lineRule="exact"/>
        <w:jc w:val="left"/>
        <w:rPr>
          <w:rFonts w:hint="eastAsia" w:hAnsi="宋体" w:cs="宋体"/>
          <w:b/>
          <w:bCs/>
          <w:color w:val="auto"/>
          <w:sz w:val="32"/>
          <w:szCs w:val="36"/>
          <w:highlight w:val="none"/>
        </w:rPr>
      </w:pPr>
    </w:p>
    <w:p w14:paraId="757B9E33">
      <w:pPr>
        <w:pStyle w:val="7"/>
        <w:snapToGrid w:val="0"/>
        <w:spacing w:before="120" w:after="120" w:line="500" w:lineRule="exact"/>
        <w:jc w:val="left"/>
        <w:rPr>
          <w:rFonts w:hint="eastAsia" w:hAnsi="宋体" w:eastAsia="宋体" w:cs="宋体"/>
          <w:b/>
          <w:bCs/>
          <w:color w:val="auto"/>
          <w:sz w:val="36"/>
          <w:szCs w:val="36"/>
          <w:highlight w:val="none"/>
          <w:lang w:eastAsia="zh-CN"/>
        </w:rPr>
      </w:pPr>
      <w:r>
        <w:rPr>
          <w:rFonts w:hint="eastAsia" w:hAnsi="宋体" w:cs="宋体"/>
          <w:b/>
          <w:bCs/>
          <w:color w:val="auto"/>
          <w:sz w:val="36"/>
          <w:szCs w:val="36"/>
          <w:highlight w:val="none"/>
        </w:rPr>
        <w:t>采购项目编号：</w:t>
      </w:r>
      <w:r>
        <w:rPr>
          <w:rFonts w:hint="eastAsia" w:hAnsi="宋体" w:cs="宋体"/>
          <w:b/>
          <w:bCs/>
          <w:color w:val="auto"/>
          <w:sz w:val="36"/>
          <w:szCs w:val="36"/>
          <w:highlight w:val="none"/>
          <w:lang w:eastAsia="zh-CN"/>
        </w:rPr>
        <w:t>GXGJ2025-C0164-S</w:t>
      </w:r>
    </w:p>
    <w:p w14:paraId="240C6AAB">
      <w:pPr>
        <w:pStyle w:val="7"/>
        <w:snapToGrid w:val="0"/>
        <w:spacing w:before="120" w:after="120" w:line="500" w:lineRule="exact"/>
        <w:jc w:val="left"/>
        <w:rPr>
          <w:rFonts w:hint="eastAsia" w:hAnsi="宋体" w:cs="宋体"/>
          <w:b/>
          <w:color w:val="auto"/>
          <w:sz w:val="36"/>
          <w:szCs w:val="36"/>
          <w:highlight w:val="none"/>
        </w:rPr>
      </w:pPr>
      <w:r>
        <w:rPr>
          <w:rFonts w:hint="eastAsia" w:hAnsi="宋体" w:cs="宋体"/>
          <w:b/>
          <w:color w:val="auto"/>
          <w:sz w:val="36"/>
          <w:szCs w:val="36"/>
          <w:highlight w:val="none"/>
        </w:rPr>
        <w:t>采购项目名称：百色市人民医院智能导检系统升级服务</w:t>
      </w:r>
      <w:bookmarkStart w:id="87" w:name="_GoBack"/>
      <w:bookmarkEnd w:id="87"/>
      <w:r>
        <w:rPr>
          <w:rFonts w:hint="eastAsia" w:hAnsi="宋体" w:cs="宋体"/>
          <w:b/>
          <w:color w:val="auto"/>
          <w:sz w:val="36"/>
          <w:szCs w:val="36"/>
          <w:highlight w:val="none"/>
        </w:rPr>
        <w:t xml:space="preserve"> </w:t>
      </w:r>
    </w:p>
    <w:p w14:paraId="6961AD21">
      <w:pPr>
        <w:pStyle w:val="7"/>
        <w:snapToGrid w:val="0"/>
        <w:spacing w:before="120" w:after="120" w:line="500" w:lineRule="exact"/>
        <w:jc w:val="center"/>
        <w:rPr>
          <w:rFonts w:hint="eastAsia" w:hAnsi="宋体" w:cs="宋体"/>
          <w:b/>
          <w:bCs/>
          <w:color w:val="auto"/>
          <w:sz w:val="36"/>
          <w:szCs w:val="36"/>
          <w:highlight w:val="none"/>
        </w:rPr>
      </w:pPr>
    </w:p>
    <w:p w14:paraId="0C48AA9D">
      <w:pPr>
        <w:pBdr>
          <w:bottom w:val="thickThinSmallGap" w:color="auto" w:sz="24" w:space="1"/>
        </w:pBdr>
        <w:snapToGrid w:val="0"/>
        <w:spacing w:before="156" w:beforeLines="50" w:line="500" w:lineRule="exact"/>
        <w:ind w:firstLine="2715" w:firstLineChars="845"/>
        <w:jc w:val="left"/>
        <w:rPr>
          <w:rFonts w:hint="eastAsia" w:ascii="宋体" w:hAnsi="宋体" w:cs="宋体"/>
          <w:b/>
          <w:color w:val="auto"/>
          <w:sz w:val="32"/>
          <w:szCs w:val="36"/>
          <w:highlight w:val="none"/>
        </w:rPr>
      </w:pPr>
    </w:p>
    <w:p w14:paraId="0A4F8FF8">
      <w:pPr>
        <w:snapToGrid w:val="0"/>
        <w:spacing w:before="156" w:beforeLines="50" w:line="500" w:lineRule="exact"/>
        <w:ind w:firstLine="1506" w:firstLineChars="500"/>
        <w:jc w:val="left"/>
        <w:rPr>
          <w:rFonts w:hint="eastAsia" w:ascii="宋体" w:hAnsi="宋体" w:eastAsia="宋体" w:cs="宋体"/>
          <w:b/>
          <w:color w:val="auto"/>
          <w:sz w:val="30"/>
          <w:szCs w:val="72"/>
          <w:highlight w:val="none"/>
          <w:lang w:eastAsia="zh-CN"/>
        </w:rPr>
      </w:pPr>
      <w:r>
        <w:rPr>
          <w:rFonts w:hint="eastAsia" w:ascii="宋体" w:hAnsi="宋体" w:cs="宋体"/>
          <w:b/>
          <w:color w:val="auto"/>
          <w:sz w:val="30"/>
          <w:szCs w:val="72"/>
          <w:highlight w:val="none"/>
        </w:rPr>
        <w:t>采   购   人：</w:t>
      </w:r>
      <w:r>
        <w:rPr>
          <w:rFonts w:hint="eastAsia" w:ascii="宋体" w:hAnsi="宋体" w:cs="宋体"/>
          <w:b/>
          <w:color w:val="auto"/>
          <w:sz w:val="30"/>
          <w:szCs w:val="72"/>
          <w:highlight w:val="none"/>
          <w:lang w:eastAsia="zh-CN"/>
        </w:rPr>
        <w:t>百色市人民医院</w:t>
      </w:r>
    </w:p>
    <w:p w14:paraId="14275997">
      <w:pPr>
        <w:snapToGrid w:val="0"/>
        <w:spacing w:before="156" w:beforeLines="50" w:line="500" w:lineRule="exact"/>
        <w:ind w:firstLine="1506" w:firstLineChars="5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176082CD">
      <w:pPr>
        <w:snapToGrid w:val="0"/>
        <w:spacing w:before="156" w:beforeLines="50" w:line="500" w:lineRule="exact"/>
        <w:jc w:val="center"/>
        <w:rPr>
          <w:rFonts w:hint="eastAsia" w:ascii="宋体" w:hAnsi="宋体" w:cs="宋体"/>
          <w:b/>
          <w:color w:val="auto"/>
          <w:sz w:val="30"/>
          <w:szCs w:val="72"/>
          <w:highlight w:val="none"/>
        </w:rPr>
      </w:pPr>
      <w:r>
        <w:rPr>
          <w:rFonts w:hint="eastAsia" w:ascii="宋体" w:hAnsi="宋体" w:cs="宋体"/>
          <w:b/>
          <w:color w:val="auto"/>
          <w:sz w:val="30"/>
          <w:szCs w:val="72"/>
          <w:highlight w:val="none"/>
        </w:rPr>
        <w:t xml:space="preserve"> </w:t>
      </w:r>
      <w:r>
        <w:rPr>
          <w:rFonts w:hint="eastAsia" w:ascii="宋体" w:hAnsi="宋体" w:cs="宋体"/>
          <w:b/>
          <w:color w:val="auto"/>
          <w:sz w:val="30"/>
          <w:szCs w:val="72"/>
          <w:highlight w:val="none"/>
          <w:lang w:val="en-US" w:eastAsia="zh-CN"/>
        </w:rPr>
        <w:t>2025</w:t>
      </w:r>
      <w:r>
        <w:rPr>
          <w:rFonts w:hint="eastAsia" w:ascii="宋体" w:hAnsi="宋体" w:cs="宋体"/>
          <w:b/>
          <w:color w:val="auto"/>
          <w:sz w:val="30"/>
          <w:szCs w:val="72"/>
          <w:highlight w:val="none"/>
        </w:rPr>
        <w:t xml:space="preserve"> 年 </w:t>
      </w:r>
      <w:r>
        <w:rPr>
          <w:rFonts w:hint="eastAsia" w:ascii="宋体" w:hAnsi="宋体" w:cs="宋体"/>
          <w:b/>
          <w:color w:val="auto"/>
          <w:sz w:val="30"/>
          <w:szCs w:val="72"/>
          <w:highlight w:val="none"/>
          <w:lang w:val="en-US" w:eastAsia="zh-CN"/>
        </w:rPr>
        <w:t>11</w:t>
      </w:r>
      <w:r>
        <w:rPr>
          <w:rFonts w:hint="eastAsia" w:ascii="宋体" w:hAnsi="宋体" w:cs="宋体"/>
          <w:b/>
          <w:color w:val="auto"/>
          <w:sz w:val="30"/>
          <w:szCs w:val="72"/>
          <w:highlight w:val="none"/>
        </w:rPr>
        <w:t xml:space="preserve"> 月</w:t>
      </w:r>
    </w:p>
    <w:p w14:paraId="3E9D7FA5">
      <w:pPr>
        <w:jc w:val="center"/>
        <w:rPr>
          <w:rFonts w:hint="eastAsia" w:ascii="宋体" w:hAnsi="宋体" w:cs="宋体"/>
          <w:b/>
          <w:color w:val="auto"/>
          <w:sz w:val="32"/>
          <w:szCs w:val="32"/>
          <w:highlight w:val="none"/>
        </w:rPr>
        <w:sectPr>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C3BE19A">
      <w:pPr>
        <w:jc w:val="center"/>
        <w:rPr>
          <w:rFonts w:hint="eastAsia" w:ascii="宋体" w:hAnsi="宋体" w:cs="宋体"/>
          <w:b/>
          <w:color w:val="auto"/>
          <w:sz w:val="44"/>
          <w:szCs w:val="44"/>
          <w:highlight w:val="none"/>
        </w:rPr>
      </w:pPr>
      <w:r>
        <w:rPr>
          <w:rFonts w:hint="eastAsia" w:ascii="宋体" w:hAnsi="宋体" w:cs="宋体"/>
          <w:b/>
          <w:color w:val="auto"/>
          <w:sz w:val="32"/>
          <w:szCs w:val="32"/>
          <w:highlight w:val="none"/>
        </w:rPr>
        <w:t xml:space="preserve"> </w:t>
      </w:r>
    </w:p>
    <w:p w14:paraId="3EBA691E">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5D14BFF7">
      <w:pPr>
        <w:jc w:val="center"/>
        <w:rPr>
          <w:rFonts w:hint="eastAsia" w:ascii="宋体" w:hAnsi="宋体" w:cs="宋体"/>
          <w:b/>
          <w:color w:val="auto"/>
          <w:sz w:val="44"/>
          <w:szCs w:val="44"/>
          <w:highlight w:val="none"/>
        </w:rPr>
      </w:pPr>
    </w:p>
    <w:p w14:paraId="64C17D58">
      <w:pPr>
        <w:pStyle w:val="9"/>
        <w:tabs>
          <w:tab w:val="right" w:leader="dot" w:pos="9030"/>
        </w:tabs>
        <w:spacing w:line="360" w:lineRule="auto"/>
        <w:rPr>
          <w:color w:val="auto"/>
          <w:sz w:val="24"/>
          <w:szCs w:val="32"/>
          <w:highlight w:val="none"/>
        </w:rPr>
      </w:pPr>
      <w:r>
        <w:rPr>
          <w:rFonts w:hint="eastAsia" w:ascii="宋体" w:hAnsi="宋体" w:cs="宋体"/>
          <w:b/>
          <w:color w:val="auto"/>
          <w:sz w:val="72"/>
          <w:szCs w:val="72"/>
          <w:highlight w:val="none"/>
        </w:rPr>
        <w:fldChar w:fldCharType="begin"/>
      </w:r>
      <w:r>
        <w:rPr>
          <w:rFonts w:hint="eastAsia" w:ascii="宋体" w:hAnsi="宋体" w:cs="宋体"/>
          <w:b/>
          <w:color w:val="auto"/>
          <w:sz w:val="72"/>
          <w:szCs w:val="72"/>
          <w:highlight w:val="none"/>
        </w:rPr>
        <w:instrText xml:space="preserve"> TOC \o "1-1" \h \z \u </w:instrText>
      </w:r>
      <w:r>
        <w:rPr>
          <w:rFonts w:hint="eastAsia" w:ascii="宋体" w:hAnsi="宋体" w:cs="宋体"/>
          <w:b/>
          <w:color w:val="auto"/>
          <w:sz w:val="72"/>
          <w:szCs w:val="72"/>
          <w:highlight w:val="none"/>
        </w:rPr>
        <w:fldChar w:fldCharType="separate"/>
      </w: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_Toc17471 </w:instrText>
      </w:r>
      <w:r>
        <w:rPr>
          <w:rFonts w:hint="eastAsia" w:ascii="宋体" w:hAnsi="宋体" w:cs="宋体"/>
          <w:color w:val="auto"/>
          <w:sz w:val="24"/>
          <w:szCs w:val="72"/>
          <w:highlight w:val="none"/>
        </w:rPr>
        <w:fldChar w:fldCharType="separate"/>
      </w:r>
      <w:r>
        <w:rPr>
          <w:rFonts w:hint="eastAsia" w:ascii="宋体" w:hAnsi="宋体" w:cs="宋体"/>
          <w:bCs/>
          <w:color w:val="auto"/>
          <w:kern w:val="2"/>
          <w:sz w:val="24"/>
          <w:szCs w:val="52"/>
          <w:highlight w:val="none"/>
          <w:lang w:val="en-US" w:eastAsia="zh-CN" w:bidi="ar-SA"/>
        </w:rPr>
        <w:t>第一章</w:t>
      </w:r>
      <w:r>
        <w:rPr>
          <w:rFonts w:hint="eastAsia" w:ascii="宋体" w:hAnsi="宋体" w:cs="宋体"/>
          <w:color w:val="auto"/>
          <w:sz w:val="24"/>
          <w:szCs w:val="52"/>
          <w:highlight w:val="none"/>
        </w:rPr>
        <w:t xml:space="preserve"> </w:t>
      </w:r>
      <w:r>
        <w:rPr>
          <w:rFonts w:hint="eastAsia" w:ascii="宋体" w:hAnsi="宋体" w:cs="宋体"/>
          <w:color w:val="auto"/>
          <w:sz w:val="24"/>
          <w:szCs w:val="52"/>
          <w:highlight w:val="none"/>
          <w:lang w:val="en-US" w:eastAsia="zh-CN"/>
        </w:rPr>
        <w:t xml:space="preserve"> </w:t>
      </w:r>
      <w:r>
        <w:rPr>
          <w:rFonts w:hint="eastAsia" w:ascii="宋体" w:hAnsi="宋体" w:cs="宋体"/>
          <w:color w:val="auto"/>
          <w:sz w:val="24"/>
          <w:szCs w:val="52"/>
          <w:highlight w:val="none"/>
        </w:rPr>
        <w:t>竞争性磋商公告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_Toc17471 \h </w:instrText>
      </w:r>
      <w:r>
        <w:rPr>
          <w:color w:val="auto"/>
          <w:sz w:val="24"/>
          <w:szCs w:val="32"/>
          <w:highlight w:val="none"/>
        </w:rPr>
        <w:fldChar w:fldCharType="separate"/>
      </w:r>
      <w:r>
        <w:rPr>
          <w:color w:val="auto"/>
          <w:sz w:val="24"/>
          <w:szCs w:val="32"/>
          <w:highlight w:val="none"/>
        </w:rPr>
        <w:t>2</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56E037F2">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_Toc9106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第二章  磋商供应商须知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_Toc9106 \h </w:instrText>
      </w:r>
      <w:r>
        <w:rPr>
          <w:color w:val="auto"/>
          <w:sz w:val="24"/>
          <w:szCs w:val="32"/>
          <w:highlight w:val="none"/>
        </w:rPr>
        <w:fldChar w:fldCharType="separate"/>
      </w:r>
      <w:r>
        <w:rPr>
          <w:color w:val="auto"/>
          <w:sz w:val="24"/>
          <w:szCs w:val="32"/>
          <w:highlight w:val="none"/>
        </w:rPr>
        <w:t>6</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44A89CDD">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_Toc31699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第三章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_Toc31699 \h </w:instrText>
      </w:r>
      <w:r>
        <w:rPr>
          <w:color w:val="auto"/>
          <w:sz w:val="24"/>
          <w:szCs w:val="32"/>
          <w:highlight w:val="none"/>
        </w:rPr>
        <w:fldChar w:fldCharType="separate"/>
      </w:r>
      <w:r>
        <w:rPr>
          <w:color w:val="auto"/>
          <w:sz w:val="24"/>
          <w:szCs w:val="32"/>
          <w:highlight w:val="none"/>
        </w:rPr>
        <w:t>21</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6103A214">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_Toc22745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第四章  竞争性磋商响应文件格式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_Toc22745 \h </w:instrText>
      </w:r>
      <w:r>
        <w:rPr>
          <w:color w:val="auto"/>
          <w:sz w:val="24"/>
          <w:szCs w:val="32"/>
          <w:highlight w:val="none"/>
        </w:rPr>
        <w:fldChar w:fldCharType="separate"/>
      </w:r>
      <w:r>
        <w:rPr>
          <w:color w:val="auto"/>
          <w:sz w:val="24"/>
          <w:szCs w:val="32"/>
          <w:highlight w:val="none"/>
        </w:rPr>
        <w:t>26</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1A7F6CF5">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_Toc30488 </w:instrText>
      </w:r>
      <w:r>
        <w:rPr>
          <w:rFonts w:hint="eastAsia" w:ascii="宋体" w:hAnsi="宋体" w:cs="宋体"/>
          <w:color w:val="auto"/>
          <w:sz w:val="24"/>
          <w:szCs w:val="72"/>
          <w:highlight w:val="none"/>
        </w:rPr>
        <w:fldChar w:fldCharType="separate"/>
      </w:r>
      <w:r>
        <w:rPr>
          <w:rFonts w:hint="eastAsia" w:ascii="宋体" w:hAnsi="宋体" w:cs="宋体"/>
          <w:color w:val="auto"/>
          <w:kern w:val="0"/>
          <w:sz w:val="24"/>
          <w:szCs w:val="52"/>
          <w:highlight w:val="none"/>
        </w:rPr>
        <w:t>第五章  合同主要条款</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_Toc30488 \h </w:instrText>
      </w:r>
      <w:r>
        <w:rPr>
          <w:color w:val="auto"/>
          <w:sz w:val="24"/>
          <w:szCs w:val="32"/>
          <w:highlight w:val="none"/>
        </w:rPr>
        <w:fldChar w:fldCharType="separate"/>
      </w:r>
      <w:r>
        <w:rPr>
          <w:color w:val="auto"/>
          <w:sz w:val="24"/>
          <w:szCs w:val="32"/>
          <w:highlight w:val="none"/>
        </w:rPr>
        <w:t>34</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50280E0E">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_Toc2132 </w:instrText>
      </w:r>
      <w:r>
        <w:rPr>
          <w:rFonts w:hint="eastAsia" w:ascii="宋体" w:hAnsi="宋体" w:cs="宋体"/>
          <w:color w:val="auto"/>
          <w:sz w:val="24"/>
          <w:szCs w:val="72"/>
          <w:highlight w:val="none"/>
        </w:rPr>
        <w:fldChar w:fldCharType="separate"/>
      </w:r>
      <w:r>
        <w:rPr>
          <w:rFonts w:hint="eastAsia" w:ascii="宋体" w:hAnsi="宋体" w:cs="宋体"/>
          <w:color w:val="auto"/>
          <w:kern w:val="0"/>
          <w:sz w:val="24"/>
          <w:szCs w:val="52"/>
          <w:highlight w:val="none"/>
        </w:rPr>
        <w:t>第六章  评标标准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_Toc2132 \h </w:instrText>
      </w:r>
      <w:r>
        <w:rPr>
          <w:color w:val="auto"/>
          <w:sz w:val="24"/>
          <w:szCs w:val="32"/>
          <w:highlight w:val="none"/>
        </w:rPr>
        <w:fldChar w:fldCharType="separate"/>
      </w:r>
      <w:r>
        <w:rPr>
          <w:color w:val="auto"/>
          <w:sz w:val="24"/>
          <w:szCs w:val="32"/>
          <w:highlight w:val="none"/>
        </w:rPr>
        <w:t>44</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128D1069">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_Toc11493 </w:instrText>
      </w:r>
      <w:r>
        <w:rPr>
          <w:rFonts w:hint="eastAsia" w:ascii="宋体" w:hAnsi="宋体" w:cs="宋体"/>
          <w:color w:val="auto"/>
          <w:sz w:val="24"/>
          <w:szCs w:val="72"/>
          <w:highlight w:val="none"/>
        </w:rPr>
        <w:fldChar w:fldCharType="separate"/>
      </w:r>
      <w:r>
        <w:rPr>
          <w:rFonts w:hint="eastAsia" w:ascii="宋体" w:hAnsi="宋体" w:eastAsia="宋体" w:cs="宋体"/>
          <w:bCs/>
          <w:color w:val="auto"/>
          <w:kern w:val="0"/>
          <w:sz w:val="24"/>
          <w:szCs w:val="52"/>
          <w:highlight w:val="none"/>
        </w:rPr>
        <w:t xml:space="preserve">第七章 </w:t>
      </w:r>
      <w:r>
        <w:rPr>
          <w:rFonts w:hint="eastAsia" w:ascii="宋体" w:hAnsi="宋体" w:eastAsia="宋体" w:cs="宋体"/>
          <w:bCs/>
          <w:color w:val="auto"/>
          <w:kern w:val="0"/>
          <w:sz w:val="24"/>
          <w:szCs w:val="52"/>
          <w:highlight w:val="none"/>
          <w:lang w:val="en-US" w:eastAsia="zh-CN"/>
        </w:rPr>
        <w:t xml:space="preserve"> </w:t>
      </w:r>
      <w:r>
        <w:rPr>
          <w:rFonts w:hint="eastAsia" w:ascii="宋体" w:hAnsi="宋体" w:eastAsia="宋体" w:cs="宋体"/>
          <w:bCs/>
          <w:color w:val="auto"/>
          <w:kern w:val="0"/>
          <w:sz w:val="24"/>
          <w:szCs w:val="52"/>
          <w:highlight w:val="none"/>
        </w:rPr>
        <w:t>质疑、投诉材料格式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_Toc11493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6A4936E4">
      <w:pPr>
        <w:spacing w:line="360" w:lineRule="auto"/>
        <w:jc w:val="center"/>
        <w:rPr>
          <w:rFonts w:hint="eastAsia" w:ascii="宋体" w:hAnsi="宋体" w:cs="宋体"/>
          <w:b/>
          <w:color w:val="auto"/>
          <w:sz w:val="52"/>
          <w:szCs w:val="52"/>
          <w:highlight w:val="none"/>
        </w:rPr>
      </w:pPr>
      <w:r>
        <w:rPr>
          <w:rFonts w:hint="eastAsia" w:ascii="宋体" w:hAnsi="宋体" w:cs="宋体"/>
          <w:color w:val="auto"/>
          <w:sz w:val="24"/>
          <w:szCs w:val="72"/>
          <w:highlight w:val="none"/>
        </w:rPr>
        <w:fldChar w:fldCharType="end"/>
      </w:r>
    </w:p>
    <w:p w14:paraId="5F7BC0D2">
      <w:pPr>
        <w:spacing w:line="400" w:lineRule="exact"/>
        <w:jc w:val="center"/>
        <w:rPr>
          <w:rFonts w:hint="eastAsia" w:ascii="宋体" w:hAnsi="宋体" w:cs="宋体"/>
          <w:b/>
          <w:color w:val="auto"/>
          <w:sz w:val="44"/>
          <w:szCs w:val="44"/>
          <w:highlight w:val="none"/>
        </w:rPr>
      </w:pPr>
    </w:p>
    <w:p w14:paraId="0D04C273">
      <w:pPr>
        <w:spacing w:line="400" w:lineRule="exact"/>
        <w:jc w:val="center"/>
        <w:rPr>
          <w:rFonts w:hint="eastAsia" w:ascii="宋体" w:hAnsi="宋体" w:cs="宋体"/>
          <w:b/>
          <w:color w:val="auto"/>
          <w:sz w:val="32"/>
          <w:szCs w:val="32"/>
          <w:highlight w:val="none"/>
        </w:rPr>
      </w:pPr>
    </w:p>
    <w:p w14:paraId="4664E159">
      <w:pPr>
        <w:spacing w:line="400" w:lineRule="exact"/>
        <w:jc w:val="center"/>
        <w:rPr>
          <w:rFonts w:hint="eastAsia" w:ascii="宋体" w:hAnsi="宋体" w:cs="宋体"/>
          <w:b/>
          <w:color w:val="auto"/>
          <w:sz w:val="32"/>
          <w:szCs w:val="32"/>
          <w:highlight w:val="none"/>
        </w:rPr>
      </w:pPr>
    </w:p>
    <w:p w14:paraId="27603102">
      <w:pPr>
        <w:spacing w:line="400" w:lineRule="exact"/>
        <w:jc w:val="center"/>
        <w:rPr>
          <w:rFonts w:hint="eastAsia" w:ascii="宋体" w:hAnsi="宋体" w:cs="宋体"/>
          <w:b/>
          <w:color w:val="auto"/>
          <w:sz w:val="32"/>
          <w:szCs w:val="32"/>
          <w:highlight w:val="none"/>
        </w:rPr>
      </w:pPr>
    </w:p>
    <w:p w14:paraId="5CAE60C0">
      <w:pPr>
        <w:spacing w:line="400" w:lineRule="exact"/>
        <w:jc w:val="center"/>
        <w:rPr>
          <w:rFonts w:hint="eastAsia" w:ascii="宋体" w:hAnsi="宋体" w:cs="宋体"/>
          <w:b/>
          <w:color w:val="auto"/>
          <w:sz w:val="32"/>
          <w:szCs w:val="32"/>
          <w:highlight w:val="none"/>
        </w:rPr>
      </w:pPr>
    </w:p>
    <w:p w14:paraId="6E8C2B78">
      <w:pPr>
        <w:spacing w:line="400" w:lineRule="exact"/>
        <w:jc w:val="center"/>
        <w:rPr>
          <w:rFonts w:hint="eastAsia" w:ascii="宋体" w:hAnsi="宋体" w:cs="宋体"/>
          <w:b/>
          <w:color w:val="auto"/>
          <w:sz w:val="32"/>
          <w:szCs w:val="32"/>
          <w:highlight w:val="none"/>
        </w:rPr>
      </w:pPr>
    </w:p>
    <w:p w14:paraId="3A21A81D">
      <w:pPr>
        <w:spacing w:line="400" w:lineRule="exact"/>
        <w:jc w:val="center"/>
        <w:rPr>
          <w:rFonts w:hint="eastAsia" w:ascii="宋体" w:hAnsi="宋体" w:cs="宋体"/>
          <w:b/>
          <w:color w:val="auto"/>
          <w:sz w:val="32"/>
          <w:szCs w:val="32"/>
          <w:highlight w:val="none"/>
        </w:rPr>
      </w:pPr>
    </w:p>
    <w:p w14:paraId="3C523A60">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8C07DEB">
      <w:pPr>
        <w:spacing w:line="400" w:lineRule="exact"/>
        <w:jc w:val="center"/>
        <w:rPr>
          <w:rFonts w:hint="eastAsia" w:ascii="宋体" w:hAnsi="宋体" w:cs="宋体"/>
          <w:b/>
          <w:color w:val="auto"/>
          <w:sz w:val="32"/>
          <w:szCs w:val="32"/>
          <w:highlight w:val="none"/>
        </w:rPr>
      </w:pPr>
    </w:p>
    <w:p w14:paraId="54DF90DE">
      <w:pPr>
        <w:spacing w:line="400" w:lineRule="exact"/>
        <w:jc w:val="center"/>
        <w:rPr>
          <w:rFonts w:hint="eastAsia" w:ascii="宋体" w:hAnsi="宋体" w:cs="宋体"/>
          <w:b/>
          <w:color w:val="auto"/>
          <w:sz w:val="32"/>
          <w:szCs w:val="32"/>
          <w:highlight w:val="none"/>
        </w:rPr>
      </w:pPr>
    </w:p>
    <w:p w14:paraId="7AB9C87F">
      <w:pPr>
        <w:spacing w:line="400" w:lineRule="exact"/>
        <w:jc w:val="center"/>
        <w:rPr>
          <w:rFonts w:hint="eastAsia" w:ascii="宋体" w:hAnsi="宋体" w:cs="宋体"/>
          <w:b/>
          <w:color w:val="auto"/>
          <w:sz w:val="32"/>
          <w:szCs w:val="32"/>
          <w:highlight w:val="none"/>
        </w:rPr>
      </w:pPr>
    </w:p>
    <w:p w14:paraId="088A6631">
      <w:pPr>
        <w:spacing w:line="400" w:lineRule="exact"/>
        <w:jc w:val="center"/>
        <w:rPr>
          <w:rFonts w:hint="eastAsia" w:ascii="宋体" w:hAnsi="宋体" w:cs="宋体"/>
          <w:b/>
          <w:color w:val="auto"/>
          <w:sz w:val="32"/>
          <w:szCs w:val="32"/>
          <w:highlight w:val="none"/>
        </w:rPr>
      </w:pPr>
    </w:p>
    <w:p w14:paraId="0B622F41">
      <w:pPr>
        <w:spacing w:line="400" w:lineRule="exact"/>
        <w:jc w:val="center"/>
        <w:rPr>
          <w:rFonts w:hint="eastAsia" w:ascii="宋体" w:hAnsi="宋体" w:cs="宋体"/>
          <w:b/>
          <w:color w:val="auto"/>
          <w:sz w:val="32"/>
          <w:szCs w:val="32"/>
          <w:highlight w:val="none"/>
        </w:rPr>
      </w:pPr>
    </w:p>
    <w:p w14:paraId="74283C4C">
      <w:pPr>
        <w:spacing w:line="400" w:lineRule="exact"/>
        <w:jc w:val="center"/>
        <w:rPr>
          <w:rFonts w:hint="eastAsia" w:ascii="宋体" w:hAnsi="宋体" w:cs="宋体"/>
          <w:b/>
          <w:color w:val="auto"/>
          <w:sz w:val="32"/>
          <w:szCs w:val="32"/>
          <w:highlight w:val="none"/>
        </w:rPr>
      </w:pPr>
    </w:p>
    <w:p w14:paraId="02A247B4">
      <w:pPr>
        <w:spacing w:line="400" w:lineRule="exact"/>
        <w:jc w:val="center"/>
        <w:rPr>
          <w:rFonts w:hint="eastAsia" w:ascii="宋体" w:hAnsi="宋体" w:cs="宋体"/>
          <w:b/>
          <w:color w:val="auto"/>
          <w:sz w:val="32"/>
          <w:szCs w:val="32"/>
          <w:highlight w:val="none"/>
        </w:rPr>
      </w:pPr>
    </w:p>
    <w:p w14:paraId="645A1B14">
      <w:pPr>
        <w:spacing w:line="400" w:lineRule="exact"/>
        <w:jc w:val="center"/>
        <w:rPr>
          <w:rFonts w:hint="eastAsia" w:ascii="宋体" w:hAnsi="宋体" w:cs="宋体"/>
          <w:b/>
          <w:color w:val="auto"/>
          <w:sz w:val="32"/>
          <w:szCs w:val="32"/>
          <w:highlight w:val="none"/>
        </w:rPr>
      </w:pPr>
    </w:p>
    <w:p w14:paraId="05B3622D">
      <w:pPr>
        <w:spacing w:line="400" w:lineRule="exact"/>
        <w:jc w:val="center"/>
        <w:rPr>
          <w:rFonts w:hint="eastAsia" w:ascii="宋体" w:hAnsi="宋体" w:cs="宋体"/>
          <w:b/>
          <w:color w:val="auto"/>
          <w:sz w:val="32"/>
          <w:szCs w:val="32"/>
          <w:highlight w:val="none"/>
        </w:rPr>
      </w:pPr>
    </w:p>
    <w:p w14:paraId="6793CB73">
      <w:pPr>
        <w:spacing w:line="400" w:lineRule="exact"/>
        <w:rPr>
          <w:rFonts w:hint="eastAsia" w:ascii="宋体" w:hAnsi="宋体" w:cs="宋体"/>
          <w:b/>
          <w:color w:val="auto"/>
          <w:sz w:val="32"/>
          <w:szCs w:val="32"/>
          <w:highlight w:val="none"/>
        </w:rPr>
      </w:pPr>
    </w:p>
    <w:p w14:paraId="18F3AF4F">
      <w:pPr>
        <w:pStyle w:val="12"/>
        <w:numPr>
          <w:ilvl w:val="0"/>
          <w:numId w:val="0"/>
        </w:numPr>
        <w:rPr>
          <w:rFonts w:hint="eastAsia" w:ascii="宋体" w:hAnsi="宋体" w:cs="宋体"/>
          <w:color w:val="auto"/>
          <w:sz w:val="44"/>
          <w:szCs w:val="44"/>
          <w:highlight w:val="none"/>
        </w:rPr>
      </w:pPr>
      <w:bookmarkStart w:id="0" w:name="_Toc476258662"/>
      <w:bookmarkStart w:id="1" w:name="_Toc17471"/>
      <w:r>
        <w:rPr>
          <w:rFonts w:hint="eastAsia" w:ascii="宋体" w:hAnsi="宋体" w:cs="宋体"/>
          <w:b/>
          <w:bCs/>
          <w:color w:val="auto"/>
          <w:kern w:val="2"/>
          <w:sz w:val="44"/>
          <w:szCs w:val="44"/>
          <w:highlight w:val="none"/>
          <w:lang w:val="en-US" w:eastAsia="zh-CN" w:bidi="ar-SA"/>
        </w:rPr>
        <w:t>第一章</w:t>
      </w:r>
      <w:r>
        <w:rPr>
          <w:rFonts w:hint="eastAsia" w:ascii="宋体" w:hAnsi="宋体" w:cs="宋体"/>
          <w:color w:val="auto"/>
          <w:sz w:val="44"/>
          <w:szCs w:val="44"/>
          <w:highlight w:val="none"/>
        </w:rPr>
        <w:t xml:space="preserve"> </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竞争性磋商公告</w:t>
      </w:r>
      <w:bookmarkEnd w:id="0"/>
      <w:bookmarkEnd w:id="1"/>
    </w:p>
    <w:p w14:paraId="53D8735A">
      <w:pPr>
        <w:widowControl w:val="0"/>
        <w:numPr>
          <w:ilvl w:val="0"/>
          <w:numId w:val="0"/>
        </w:numPr>
        <w:jc w:val="both"/>
        <w:rPr>
          <w:rFonts w:hint="eastAsia"/>
          <w:color w:val="auto"/>
          <w:highlight w:val="none"/>
        </w:rPr>
      </w:pPr>
    </w:p>
    <w:p w14:paraId="06048A26">
      <w:pPr>
        <w:widowControl w:val="0"/>
        <w:numPr>
          <w:ilvl w:val="0"/>
          <w:numId w:val="0"/>
        </w:numPr>
        <w:jc w:val="both"/>
        <w:rPr>
          <w:rFonts w:hint="eastAsia"/>
          <w:color w:val="auto"/>
          <w:highlight w:val="none"/>
        </w:rPr>
      </w:pPr>
    </w:p>
    <w:p w14:paraId="63A4A93C">
      <w:pPr>
        <w:widowControl w:val="0"/>
        <w:numPr>
          <w:ilvl w:val="0"/>
          <w:numId w:val="0"/>
        </w:numPr>
        <w:jc w:val="both"/>
        <w:rPr>
          <w:rFonts w:hint="eastAsia"/>
          <w:color w:val="auto"/>
          <w:highlight w:val="none"/>
        </w:rPr>
      </w:pPr>
    </w:p>
    <w:p w14:paraId="19803A0D">
      <w:pPr>
        <w:jc w:val="center"/>
        <w:rPr>
          <w:rFonts w:hint="eastAsia" w:ascii="宋体" w:hAnsi="宋体" w:cs="宋体"/>
          <w:color w:val="auto"/>
          <w:highlight w:val="none"/>
        </w:rPr>
      </w:pPr>
      <w:r>
        <w:rPr>
          <w:rFonts w:hint="eastAsia" w:ascii="宋体" w:hAnsi="宋体" w:cs="宋体"/>
          <w:color w:val="auto"/>
          <w:sz w:val="44"/>
          <w:szCs w:val="44"/>
          <w:highlight w:val="none"/>
        </w:rPr>
        <w:br w:type="page"/>
      </w:r>
      <w:bookmarkStart w:id="2" w:name="_Toc28359011"/>
      <w:bookmarkStart w:id="3" w:name="_Toc35393797"/>
      <w:r>
        <w:rPr>
          <w:rFonts w:hint="eastAsia" w:ascii="宋体" w:hAnsi="宋体" w:cs="宋体"/>
          <w:b/>
          <w:bCs/>
          <w:color w:val="auto"/>
          <w:sz w:val="32"/>
          <w:szCs w:val="40"/>
          <w:highlight w:val="none"/>
        </w:rPr>
        <w:t>广西国建项目管理有限公司关于</w:t>
      </w:r>
      <w:r>
        <w:rPr>
          <w:rFonts w:hint="eastAsia" w:ascii="宋体" w:hAnsi="宋体" w:cs="宋体"/>
          <w:b/>
          <w:bCs/>
          <w:color w:val="auto"/>
          <w:sz w:val="32"/>
          <w:szCs w:val="40"/>
          <w:highlight w:val="none"/>
          <w:lang w:eastAsia="zh-CN"/>
        </w:rPr>
        <w:t>百色市人民医院智能导检系统升级服务</w:t>
      </w:r>
      <w:r>
        <w:rPr>
          <w:rFonts w:hint="eastAsia" w:ascii="宋体" w:hAnsi="宋体" w:cs="宋体"/>
          <w:b/>
          <w:bCs/>
          <w:color w:val="auto"/>
          <w:sz w:val="32"/>
          <w:szCs w:val="40"/>
          <w:highlight w:val="none"/>
        </w:rPr>
        <w:t>（</w:t>
      </w:r>
      <w:r>
        <w:rPr>
          <w:rFonts w:hint="eastAsia" w:ascii="宋体" w:hAnsi="宋体" w:cs="宋体"/>
          <w:b/>
          <w:bCs/>
          <w:color w:val="auto"/>
          <w:sz w:val="32"/>
          <w:szCs w:val="40"/>
          <w:highlight w:val="none"/>
          <w:lang w:eastAsia="zh-CN"/>
        </w:rPr>
        <w:t>GXGJ2025-C0164-S</w:t>
      </w:r>
      <w:r>
        <w:rPr>
          <w:rFonts w:hint="eastAsia" w:ascii="宋体" w:hAnsi="宋体" w:cs="宋体"/>
          <w:b/>
          <w:bCs/>
          <w:color w:val="auto"/>
          <w:sz w:val="32"/>
          <w:szCs w:val="40"/>
          <w:highlight w:val="none"/>
        </w:rPr>
        <w:t>）竞争性磋商公告</w:t>
      </w:r>
      <w:bookmarkEnd w:id="2"/>
      <w:bookmarkEnd w:id="3"/>
    </w:p>
    <w:p w14:paraId="7C4EEBCA">
      <w:pPr>
        <w:rPr>
          <w:rFonts w:hint="eastAsia" w:ascii="宋体" w:hAnsi="宋体" w:cs="宋体"/>
          <w:color w:val="auto"/>
          <w:highlight w:val="none"/>
        </w:rPr>
      </w:pPr>
    </w:p>
    <w:p w14:paraId="5F04219A">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项目概况</w:t>
      </w:r>
    </w:p>
    <w:p w14:paraId="596EEF71">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eastAsia="zh-CN" w:bidi="ar"/>
        </w:rPr>
        <w:t>百色市人民医院智能导检系统升级服务</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14:paraId="02C74C9D">
      <w:pPr>
        <w:spacing w:line="380" w:lineRule="exact"/>
        <w:rPr>
          <w:rFonts w:hint="eastAsia" w:ascii="宋体" w:hAnsi="宋体" w:cs="宋体"/>
          <w:color w:val="auto"/>
          <w:highlight w:val="none"/>
        </w:rPr>
      </w:pPr>
    </w:p>
    <w:p w14:paraId="051FBC1A">
      <w:pPr>
        <w:spacing w:line="380" w:lineRule="exact"/>
        <w:rPr>
          <w:rFonts w:hint="eastAsia" w:ascii="宋体" w:hAnsi="宋体" w:cs="宋体"/>
          <w:b/>
          <w:color w:val="auto"/>
          <w:highlight w:val="none"/>
        </w:rPr>
      </w:pPr>
      <w:bookmarkStart w:id="4" w:name="_Toc28359012"/>
      <w:bookmarkStart w:id="5" w:name="_Toc28359089"/>
      <w:bookmarkStart w:id="6" w:name="_Toc35393798"/>
      <w:bookmarkStart w:id="7" w:name="_Toc35393629"/>
      <w:r>
        <w:rPr>
          <w:rFonts w:hint="eastAsia" w:ascii="宋体" w:hAnsi="宋体" w:cs="宋体"/>
          <w:b/>
          <w:color w:val="auto"/>
          <w:szCs w:val="21"/>
          <w:highlight w:val="none"/>
          <w:lang w:bidi="ar"/>
        </w:rPr>
        <w:t>一、项目基本情况</w:t>
      </w:r>
      <w:bookmarkEnd w:id="4"/>
      <w:bookmarkEnd w:id="5"/>
      <w:bookmarkEnd w:id="6"/>
      <w:bookmarkEnd w:id="7"/>
    </w:p>
    <w:p w14:paraId="240D6305">
      <w:pPr>
        <w:spacing w:line="38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lang w:eastAsia="zh-CN" w:bidi="ar"/>
        </w:rPr>
        <w:t>GXGJ2025-C0164-S</w:t>
      </w:r>
    </w:p>
    <w:p w14:paraId="220F43D8">
      <w:pPr>
        <w:spacing w:line="38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lang w:eastAsia="zh-CN" w:bidi="ar"/>
        </w:rPr>
        <w:t>百色市人民医院智能导检系统升级服务</w:t>
      </w:r>
    </w:p>
    <w:p w14:paraId="695251F9">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 xml:space="preserve">采购方式：□竞争性谈判 </w:t>
      </w:r>
      <w:r>
        <w:rPr>
          <w:rFonts w:hint="eastAsia" w:ascii="宋体" w:hAnsi="宋体" w:cs="宋体"/>
          <w:color w:val="auto"/>
          <w:szCs w:val="21"/>
          <w:highlight w:val="none"/>
          <w:lang w:bidi="ar"/>
        </w:rPr>
        <w:sym w:font="Wingdings 2" w:char="0052"/>
      </w:r>
      <w:r>
        <w:rPr>
          <w:rFonts w:hint="eastAsia" w:ascii="宋体" w:hAnsi="宋体" w:cs="宋体"/>
          <w:color w:val="auto"/>
          <w:szCs w:val="21"/>
          <w:highlight w:val="none"/>
          <w:lang w:bidi="ar"/>
        </w:rPr>
        <w:t>竞争性磋商 □询价</w:t>
      </w:r>
    </w:p>
    <w:p w14:paraId="5E7C6E0D">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预算金额：</w:t>
      </w:r>
      <w:r>
        <w:rPr>
          <w:rFonts w:hint="eastAsia" w:ascii="宋体" w:hAnsi="宋体" w:cs="宋体"/>
          <w:color w:val="auto"/>
          <w:szCs w:val="21"/>
          <w:highlight w:val="none"/>
          <w:lang w:val="en-US" w:eastAsia="zh-CN" w:bidi="ar"/>
        </w:rPr>
        <w:t>12</w:t>
      </w:r>
      <w:r>
        <w:rPr>
          <w:rFonts w:hint="eastAsia" w:ascii="宋体" w:hAnsi="宋体" w:cs="宋体"/>
          <w:color w:val="auto"/>
          <w:szCs w:val="21"/>
          <w:highlight w:val="none"/>
          <w:lang w:bidi="ar"/>
        </w:rPr>
        <w:t>万元</w:t>
      </w:r>
    </w:p>
    <w:p w14:paraId="12AF69B7">
      <w:pPr>
        <w:pStyle w:val="2"/>
        <w:ind w:left="0" w:leftChars="0"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最高限价：12万元</w:t>
      </w:r>
    </w:p>
    <w:p w14:paraId="0DF57115">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采购需求：</w:t>
      </w:r>
      <w:r>
        <w:rPr>
          <w:rFonts w:hint="eastAsia" w:ascii="宋体" w:hAnsi="宋体" w:cs="宋体"/>
          <w:color w:val="auto"/>
          <w:highlight w:val="none"/>
          <w:lang w:eastAsia="zh-CN"/>
        </w:rPr>
        <w:t>百色市人民医院智能导检系统升级服务</w:t>
      </w:r>
      <w:r>
        <w:rPr>
          <w:rFonts w:hint="eastAsia" w:ascii="宋体" w:hAnsi="宋体" w:cs="宋体"/>
          <w:color w:val="auto"/>
          <w:highlight w:val="none"/>
          <w:lang w:val="en-US" w:eastAsia="zh-CN"/>
        </w:rPr>
        <w:t>1项</w:t>
      </w:r>
      <w:r>
        <w:rPr>
          <w:rFonts w:hint="eastAsia" w:ascii="宋体" w:hAnsi="宋体" w:cs="宋体"/>
          <w:color w:val="auto"/>
          <w:highlight w:val="none"/>
        </w:rPr>
        <w:t>。如需进一步了解详细内容，详见采购文件。</w:t>
      </w:r>
    </w:p>
    <w:p w14:paraId="08AB42C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合同履行期限：</w:t>
      </w:r>
      <w:r>
        <w:rPr>
          <w:rFonts w:hint="eastAsia" w:ascii="宋体" w:hAnsi="宋体" w:cs="宋体"/>
          <w:color w:val="auto"/>
          <w:szCs w:val="21"/>
          <w:highlight w:val="none"/>
          <w:lang w:val="en-US" w:eastAsia="zh-CN" w:bidi="ar"/>
        </w:rPr>
        <w:t>详见采购需求</w:t>
      </w:r>
      <w:r>
        <w:rPr>
          <w:rFonts w:hint="eastAsia" w:ascii="宋体" w:hAnsi="宋体" w:cs="宋体"/>
          <w:color w:val="auto"/>
          <w:szCs w:val="21"/>
          <w:highlight w:val="none"/>
        </w:rPr>
        <w:t>。</w:t>
      </w:r>
    </w:p>
    <w:p w14:paraId="4F7CACD0">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本项目</w:t>
      </w:r>
      <w:r>
        <w:rPr>
          <w:rFonts w:hint="eastAsia" w:ascii="宋体" w:hAnsi="宋体" w:cs="宋体"/>
          <w:color w:val="auto"/>
          <w:szCs w:val="21"/>
          <w:highlight w:val="none"/>
          <w:lang w:val="en-US" w:eastAsia="zh-CN" w:bidi="ar"/>
        </w:rPr>
        <w:t>不</w:t>
      </w:r>
      <w:r>
        <w:rPr>
          <w:rFonts w:hint="eastAsia" w:ascii="宋体" w:hAnsi="宋体" w:cs="宋体"/>
          <w:color w:val="auto"/>
          <w:szCs w:val="21"/>
          <w:highlight w:val="none"/>
          <w:lang w:bidi="ar"/>
        </w:rPr>
        <w:t>接受联合体。</w:t>
      </w:r>
    </w:p>
    <w:p w14:paraId="09DF9015">
      <w:pPr>
        <w:spacing w:line="380" w:lineRule="exact"/>
        <w:rPr>
          <w:rFonts w:hint="eastAsia" w:ascii="宋体" w:hAnsi="宋体" w:cs="宋体"/>
          <w:b/>
          <w:color w:val="auto"/>
          <w:highlight w:val="none"/>
        </w:rPr>
      </w:pPr>
      <w:bookmarkStart w:id="8" w:name="_Toc35393799"/>
      <w:bookmarkStart w:id="9" w:name="_Toc35393630"/>
      <w:bookmarkStart w:id="10" w:name="_Toc28359013"/>
      <w:bookmarkStart w:id="11" w:name="_Toc28359090"/>
      <w:r>
        <w:rPr>
          <w:rFonts w:hint="eastAsia" w:ascii="宋体" w:hAnsi="宋体" w:cs="宋体"/>
          <w:b/>
          <w:color w:val="auto"/>
          <w:szCs w:val="21"/>
          <w:highlight w:val="none"/>
          <w:lang w:bidi="ar"/>
        </w:rPr>
        <w:t>二、申请人的资格要求：</w:t>
      </w:r>
      <w:bookmarkEnd w:id="8"/>
      <w:bookmarkEnd w:id="9"/>
      <w:bookmarkEnd w:id="10"/>
      <w:bookmarkEnd w:id="11"/>
    </w:p>
    <w:p w14:paraId="3C9B3AA8">
      <w:pPr>
        <w:spacing w:line="380" w:lineRule="exact"/>
        <w:ind w:firstLine="420" w:firstLineChars="200"/>
        <w:rPr>
          <w:rFonts w:hint="eastAsia" w:ascii="宋体" w:hAnsi="宋体" w:cs="宋体"/>
          <w:color w:val="auto"/>
          <w:highlight w:val="none"/>
        </w:rPr>
      </w:pPr>
      <w:bookmarkStart w:id="12" w:name="_Toc28359091"/>
      <w:bookmarkStart w:id="13" w:name="_Toc28359014"/>
      <w:bookmarkStart w:id="14" w:name="_Toc35393800"/>
      <w:bookmarkStart w:id="15" w:name="_Toc35393631"/>
      <w:r>
        <w:rPr>
          <w:rFonts w:hint="eastAsia" w:ascii="宋体" w:hAnsi="宋体" w:cs="宋体"/>
          <w:color w:val="auto"/>
          <w:szCs w:val="21"/>
          <w:highlight w:val="none"/>
          <w:lang w:bidi="ar"/>
        </w:rPr>
        <w:t>1.满足《中华人民共和国政府采购法》第二十二条规定；</w:t>
      </w:r>
    </w:p>
    <w:p w14:paraId="5896DCA0">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w:t>
      </w:r>
      <w:r>
        <w:rPr>
          <w:rFonts w:hint="eastAsia" w:ascii="宋体" w:hAnsi="宋体" w:cs="宋体"/>
          <w:color w:val="auto"/>
          <w:highlight w:val="none"/>
        </w:rPr>
        <w:t>本项目的特定资格要求：无。</w:t>
      </w:r>
    </w:p>
    <w:p w14:paraId="35B71AE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3.本项目不接受未购买本采购文件的供应商参加磋商；</w:t>
      </w:r>
    </w:p>
    <w:p w14:paraId="1B2872FC">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E42836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5.参加采购活动前三年内，在经营活动中没有重大违法记录和不良信用记录；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1CBA8A5F">
      <w:pPr>
        <w:spacing w:line="380" w:lineRule="exact"/>
        <w:rPr>
          <w:rFonts w:hint="eastAsia" w:ascii="宋体" w:hAnsi="宋体" w:cs="宋体"/>
          <w:b/>
          <w:color w:val="auto"/>
          <w:highlight w:val="none"/>
        </w:rPr>
      </w:pPr>
      <w:r>
        <w:rPr>
          <w:rFonts w:hint="eastAsia" w:ascii="宋体" w:hAnsi="宋体" w:cs="宋体"/>
          <w:b/>
          <w:color w:val="auto"/>
          <w:szCs w:val="21"/>
          <w:highlight w:val="none"/>
          <w:lang w:bidi="ar"/>
        </w:rPr>
        <w:t>三、获取采购文件</w:t>
      </w:r>
      <w:bookmarkEnd w:id="12"/>
      <w:bookmarkEnd w:id="13"/>
      <w:bookmarkEnd w:id="14"/>
      <w:bookmarkEnd w:id="15"/>
    </w:p>
    <w:p w14:paraId="52272C65">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25</w:t>
      </w:r>
      <w:r>
        <w:rPr>
          <w:rFonts w:hint="eastAsia" w:ascii="宋体" w:hAnsi="宋体" w:cs="宋体"/>
          <w:color w:val="auto"/>
          <w:highlight w:val="none"/>
          <w:u w:val="single"/>
        </w:rPr>
        <w:t xml:space="preserve"> 日</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02</w:t>
      </w:r>
      <w:r>
        <w:rPr>
          <w:rFonts w:hint="eastAsia" w:ascii="宋体" w:hAnsi="宋体" w:cs="宋体"/>
          <w:color w:val="auto"/>
          <w:highlight w:val="none"/>
          <w:u w:val="single"/>
        </w:rPr>
        <w:t xml:space="preserve"> 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14:paraId="12E397AD">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223B0588">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3.方式：</w:t>
      </w:r>
      <w:r>
        <w:rPr>
          <w:rFonts w:hint="eastAsia" w:ascii="宋体" w:hAnsi="宋体" w:eastAsia="宋体" w:cs="宋体"/>
          <w:i w:val="0"/>
          <w:iCs w:val="0"/>
          <w:color w:val="auto"/>
          <w:highlight w:val="none"/>
          <w:lang w:val="en-US" w:eastAsia="zh-CN" w:bidi="ar"/>
        </w:rPr>
        <w:t>现场获取或邮件获取。</w:t>
      </w:r>
      <w:r>
        <w:rPr>
          <w:rFonts w:hint="eastAsia" w:ascii="宋体" w:hAnsi="宋体" w:cs="宋体"/>
          <w:color w:val="auto"/>
          <w:szCs w:val="21"/>
          <w:highlight w:val="none"/>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4BB20E6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依据《国家税务总局关于增值税发票开具有关问题的公告》国家税务总局公告2017年第16号的规定，供应商在索取发票时，请提供纳税人识别号或统一社会信用代码。</w:t>
      </w:r>
    </w:p>
    <w:p w14:paraId="714C88E6">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开户名称：广西国建项目管理有限公司百色分公司</w:t>
      </w:r>
    </w:p>
    <w:p w14:paraId="1462F7A7">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开户银行：广西北部湾银行百色分行 </w:t>
      </w:r>
    </w:p>
    <w:p w14:paraId="6923FDC9">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银行账号：8050 0624 4988 888</w:t>
      </w:r>
    </w:p>
    <w:p w14:paraId="54964544">
      <w:pPr>
        <w:spacing w:line="380" w:lineRule="exact"/>
        <w:rPr>
          <w:rFonts w:hint="eastAsia" w:ascii="宋体" w:hAnsi="宋体" w:cs="宋体"/>
          <w:b/>
          <w:color w:val="auto"/>
          <w:highlight w:val="none"/>
        </w:rPr>
      </w:pPr>
      <w:bookmarkStart w:id="16" w:name="_Toc35393801"/>
      <w:bookmarkStart w:id="17" w:name="_Toc35393632"/>
      <w:bookmarkStart w:id="18" w:name="_Toc28359092"/>
      <w:bookmarkStart w:id="19" w:name="_Toc28359015"/>
      <w:r>
        <w:rPr>
          <w:rFonts w:hint="eastAsia" w:ascii="宋体" w:hAnsi="宋体" w:cs="宋体"/>
          <w:b/>
          <w:color w:val="auto"/>
          <w:szCs w:val="21"/>
          <w:highlight w:val="none"/>
          <w:lang w:bidi="ar"/>
        </w:rPr>
        <w:t>四、响应文件提交</w:t>
      </w:r>
      <w:bookmarkEnd w:id="16"/>
      <w:bookmarkEnd w:id="17"/>
      <w:bookmarkEnd w:id="18"/>
      <w:bookmarkEnd w:id="19"/>
    </w:p>
    <w:p w14:paraId="2E6C7F84">
      <w:pPr>
        <w:spacing w:line="380" w:lineRule="exact"/>
        <w:ind w:firstLine="420" w:firstLineChars="200"/>
        <w:rPr>
          <w:rFonts w:hint="eastAsia"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14:paraId="5F24C5B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地点：广西国建项目管理有限公司百色分公司（百色市右江区那毕大道12号百色投资大厦（环球大厦）右塔5层508号）。</w:t>
      </w:r>
    </w:p>
    <w:p w14:paraId="1835476C">
      <w:pPr>
        <w:spacing w:line="380" w:lineRule="exact"/>
        <w:rPr>
          <w:rFonts w:hint="eastAsia" w:ascii="宋体" w:hAnsi="宋体" w:cs="宋体"/>
          <w:b/>
          <w:color w:val="auto"/>
          <w:highlight w:val="none"/>
        </w:rPr>
      </w:pPr>
      <w:bookmarkStart w:id="20" w:name="_Toc28359093"/>
      <w:bookmarkStart w:id="21" w:name="_Toc28359016"/>
      <w:bookmarkStart w:id="22" w:name="_Toc35393802"/>
      <w:bookmarkStart w:id="23" w:name="_Toc35393633"/>
      <w:r>
        <w:rPr>
          <w:rFonts w:hint="eastAsia" w:ascii="宋体" w:hAnsi="宋体" w:cs="宋体"/>
          <w:b/>
          <w:color w:val="auto"/>
          <w:szCs w:val="21"/>
          <w:highlight w:val="none"/>
          <w:lang w:bidi="ar"/>
        </w:rPr>
        <w:t>五、</w:t>
      </w:r>
      <w:bookmarkEnd w:id="20"/>
      <w:bookmarkEnd w:id="21"/>
      <w:bookmarkEnd w:id="22"/>
      <w:bookmarkEnd w:id="23"/>
      <w:r>
        <w:rPr>
          <w:rFonts w:hint="eastAsia" w:ascii="宋体" w:hAnsi="宋体" w:cs="宋体"/>
          <w:b/>
          <w:color w:val="auto"/>
          <w:szCs w:val="21"/>
          <w:highlight w:val="none"/>
          <w:lang w:bidi="ar"/>
        </w:rPr>
        <w:t>磋商时间及地点</w:t>
      </w:r>
    </w:p>
    <w:p w14:paraId="7BC9A638">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color w:val="auto"/>
          <w:szCs w:val="21"/>
          <w:highlight w:val="none"/>
          <w:lang w:bidi="ar"/>
        </w:rPr>
        <w:t>（北京时间）后。</w:t>
      </w:r>
    </w:p>
    <w:p w14:paraId="288D2C2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2.地点：广西国建项目管理有限公司百色分公司（百色市右江区那毕大道12号百色投资大厦（环球大厦）右塔5层508号）。</w:t>
      </w:r>
    </w:p>
    <w:p w14:paraId="31C5B4C7">
      <w:pPr>
        <w:spacing w:line="380" w:lineRule="exact"/>
        <w:rPr>
          <w:rFonts w:hint="eastAsia" w:ascii="宋体" w:hAnsi="宋体" w:cs="宋体"/>
          <w:b/>
          <w:color w:val="auto"/>
          <w:highlight w:val="none"/>
        </w:rPr>
      </w:pPr>
      <w:bookmarkStart w:id="24" w:name="_Toc28359094"/>
      <w:bookmarkStart w:id="25" w:name="_Toc35393803"/>
      <w:bookmarkStart w:id="26" w:name="_Toc35393634"/>
      <w:bookmarkStart w:id="27" w:name="_Toc28359017"/>
      <w:r>
        <w:rPr>
          <w:rFonts w:hint="eastAsia" w:ascii="宋体" w:hAnsi="宋体" w:cs="宋体"/>
          <w:b/>
          <w:color w:val="auto"/>
          <w:szCs w:val="21"/>
          <w:highlight w:val="none"/>
          <w:lang w:bidi="ar"/>
        </w:rPr>
        <w:t>六、公告期限</w:t>
      </w:r>
      <w:bookmarkEnd w:id="24"/>
      <w:bookmarkEnd w:id="25"/>
      <w:bookmarkEnd w:id="26"/>
      <w:bookmarkEnd w:id="27"/>
    </w:p>
    <w:p w14:paraId="2FF3B6D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自本公告发布之日起5个工作日。</w:t>
      </w:r>
    </w:p>
    <w:p w14:paraId="22ECD783">
      <w:pPr>
        <w:spacing w:line="380" w:lineRule="exact"/>
        <w:rPr>
          <w:rFonts w:hint="eastAsia" w:ascii="宋体" w:hAnsi="宋体" w:cs="宋体"/>
          <w:b/>
          <w:color w:val="auto"/>
          <w:highlight w:val="none"/>
        </w:rPr>
      </w:pPr>
      <w:bookmarkStart w:id="28" w:name="_Toc35393635"/>
      <w:bookmarkStart w:id="29" w:name="_Toc35393804"/>
      <w:r>
        <w:rPr>
          <w:rFonts w:hint="eastAsia" w:ascii="宋体" w:hAnsi="宋体" w:cs="宋体"/>
          <w:b/>
          <w:color w:val="auto"/>
          <w:szCs w:val="21"/>
          <w:highlight w:val="none"/>
          <w:lang w:bidi="ar"/>
        </w:rPr>
        <w:t>七、其他补充事宜</w:t>
      </w:r>
      <w:bookmarkEnd w:id="28"/>
      <w:bookmarkEnd w:id="29"/>
    </w:p>
    <w:p w14:paraId="7ECEDE61">
      <w:pPr>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1.磋商保证金（人民币）</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1200</w:t>
      </w:r>
      <w:r>
        <w:rPr>
          <w:rFonts w:hint="eastAsia" w:ascii="宋体" w:hAnsi="宋体" w:cs="宋体"/>
          <w:color w:val="auto"/>
          <w:szCs w:val="21"/>
          <w:highlight w:val="none"/>
          <w:u w:val="single"/>
          <w:lang w:bidi="ar"/>
        </w:rPr>
        <w:t xml:space="preserve">.00 </w:t>
      </w:r>
      <w:r>
        <w:rPr>
          <w:rFonts w:hint="eastAsia" w:ascii="宋体" w:hAnsi="宋体" w:cs="宋体"/>
          <w:color w:val="auto"/>
          <w:szCs w:val="21"/>
          <w:highlight w:val="none"/>
          <w:lang w:bidi="ar"/>
        </w:rPr>
        <w:t>元。</w:t>
      </w:r>
      <w:r>
        <w:rPr>
          <w:rFonts w:hint="eastAsia" w:ascii="宋体" w:hAnsi="宋体" w:cs="宋体"/>
          <w:bCs/>
          <w:color w:val="auto"/>
          <w:szCs w:val="21"/>
          <w:highlight w:val="none"/>
          <w:lang w:bidi="ar"/>
        </w:rPr>
        <w:t>（必须足额交纳）</w:t>
      </w:r>
    </w:p>
    <w:p w14:paraId="2E302263">
      <w:pPr>
        <w:snapToGrid w:val="0"/>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color w:val="auto"/>
          <w:szCs w:val="21"/>
          <w:highlight w:val="none"/>
          <w:lang w:bidi="ar"/>
        </w:rPr>
        <w:t>缴纳时注明项目编号</w:t>
      </w:r>
      <w:r>
        <w:rPr>
          <w:rFonts w:hint="eastAsia" w:ascii="宋体" w:hAnsi="宋体" w:cs="宋体"/>
          <w:bCs/>
          <w:color w:val="auto"/>
          <w:szCs w:val="21"/>
          <w:highlight w:val="none"/>
          <w:lang w:bidi="ar"/>
        </w:rPr>
        <w:t>（财务室电话：0771- 4915599）</w:t>
      </w:r>
      <w:r>
        <w:rPr>
          <w:rFonts w:hint="eastAsia" w:ascii="宋体" w:hAnsi="宋体" w:cs="宋体"/>
          <w:color w:val="auto"/>
          <w:szCs w:val="21"/>
          <w:highlight w:val="none"/>
          <w:lang w:bidi="ar"/>
        </w:rPr>
        <w:t>:</w:t>
      </w:r>
    </w:p>
    <w:p w14:paraId="3F19BA21">
      <w:pPr>
        <w:snapToGrid w:val="0"/>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14:paraId="6FB6D9FF">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开户银行：广西北部湾银行股份有限公司南宁市金凯支行</w:t>
      </w:r>
    </w:p>
    <w:p w14:paraId="0DE69A1D">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银行账号：8001 1543 5100 035</w:t>
      </w:r>
    </w:p>
    <w:p w14:paraId="116B53CD">
      <w:pPr>
        <w:spacing w:line="380" w:lineRule="exact"/>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2.公告媒体：采购与招标网、</w:t>
      </w:r>
      <w:r>
        <w:rPr>
          <w:rFonts w:hint="eastAsia" w:ascii="宋体" w:hAnsi="宋体" w:cs="宋体"/>
          <w:color w:val="auto"/>
          <w:szCs w:val="21"/>
          <w:highlight w:val="none"/>
          <w:lang w:bidi="ar"/>
        </w:rPr>
        <w:t>广西国建项目管理有限公司网</w:t>
      </w:r>
    </w:p>
    <w:p w14:paraId="21CC2BCB">
      <w:pPr>
        <w:spacing w:line="380" w:lineRule="exact"/>
        <w:rPr>
          <w:rFonts w:hint="eastAsia"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14:paraId="3E132067">
      <w:pPr>
        <w:widowControl/>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1.采购人信息</w:t>
      </w:r>
    </w:p>
    <w:p w14:paraId="70B8381A">
      <w:pPr>
        <w:spacing w:line="380" w:lineRule="exact"/>
        <w:ind w:firstLine="630" w:firstLineChars="300"/>
        <w:jc w:val="left"/>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名 称：</w:t>
      </w:r>
      <w:r>
        <w:rPr>
          <w:rFonts w:hint="eastAsia" w:ascii="宋体" w:hAnsi="宋体" w:cs="宋体"/>
          <w:color w:val="auto"/>
          <w:highlight w:val="none"/>
          <w:lang w:eastAsia="zh-CN"/>
        </w:rPr>
        <w:t>百色市人民医院</w:t>
      </w:r>
    </w:p>
    <w:p w14:paraId="70308EB9">
      <w:pPr>
        <w:spacing w:line="380" w:lineRule="exact"/>
        <w:ind w:firstLine="630" w:firstLineChars="300"/>
        <w:jc w:val="left"/>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地 址：百色市右江区城乡路8号</w:t>
      </w:r>
    </w:p>
    <w:p w14:paraId="2935D8F5">
      <w:pPr>
        <w:spacing w:line="380" w:lineRule="exact"/>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联系人及联系方式：</w:t>
      </w:r>
      <w:bookmarkStart w:id="30" w:name="_Toc28359086"/>
      <w:bookmarkStart w:id="31" w:name="_Toc28359009"/>
      <w:r>
        <w:rPr>
          <w:rFonts w:hint="eastAsia" w:ascii="宋体" w:hAnsi="宋体" w:cs="宋体"/>
          <w:color w:val="auto"/>
          <w:szCs w:val="21"/>
          <w:highlight w:val="none"/>
          <w:lang w:bidi="ar"/>
        </w:rPr>
        <w:t>陈腾云 0776-2851300</w:t>
      </w:r>
    </w:p>
    <w:p w14:paraId="785704F1">
      <w:pPr>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2.采购代理机构信息</w:t>
      </w:r>
      <w:bookmarkEnd w:id="30"/>
      <w:bookmarkEnd w:id="31"/>
    </w:p>
    <w:p w14:paraId="0783B68D">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名 称：广西国建项目管理有限公司</w:t>
      </w:r>
    </w:p>
    <w:p w14:paraId="15E269C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14:paraId="72829AD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联系方式：</w:t>
      </w:r>
      <w:bookmarkStart w:id="32" w:name="_Toc28359087"/>
      <w:bookmarkStart w:id="33" w:name="_Toc28359010"/>
      <w:r>
        <w:rPr>
          <w:rFonts w:hint="eastAsia" w:ascii="宋体" w:hAnsi="宋体" w:cs="宋体"/>
          <w:color w:val="auto"/>
          <w:highlight w:val="none"/>
        </w:rPr>
        <w:t>0771-4915533</w:t>
      </w:r>
    </w:p>
    <w:bookmarkEnd w:id="32"/>
    <w:bookmarkEnd w:id="33"/>
    <w:p w14:paraId="7E3D10EF">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3.项目联系方式</w:t>
      </w:r>
    </w:p>
    <w:p w14:paraId="59ED157F">
      <w:pPr>
        <w:spacing w:line="380" w:lineRule="exact"/>
        <w:ind w:firstLine="630" w:firstLineChars="300"/>
        <w:rPr>
          <w:rFonts w:hint="eastAsia" w:ascii="宋体" w:hAnsi="宋体" w:cs="宋体"/>
          <w:color w:val="auto"/>
          <w:highlight w:val="none"/>
        </w:rPr>
      </w:pPr>
      <w:r>
        <w:rPr>
          <w:rFonts w:hint="eastAsia" w:ascii="宋体" w:hAnsi="宋体" w:cs="宋体"/>
          <w:color w:val="auto"/>
          <w:highlight w:val="none"/>
        </w:rPr>
        <w:t xml:space="preserve">项目联系人：蓝春花 </w:t>
      </w:r>
    </w:p>
    <w:p w14:paraId="3ABD796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电 话：</w:t>
      </w:r>
      <w:r>
        <w:rPr>
          <w:rFonts w:hint="eastAsia" w:ascii="宋体" w:hAnsi="宋体" w:cs="宋体"/>
          <w:color w:val="auto"/>
          <w:highlight w:val="none"/>
        </w:rPr>
        <w:t>0771-4915533</w:t>
      </w:r>
    </w:p>
    <w:p w14:paraId="2723EE93">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购买招标文件联系人：</w:t>
      </w:r>
      <w:r>
        <w:rPr>
          <w:rFonts w:hint="eastAsia" w:ascii="宋体" w:hAnsi="宋体" w:cs="宋体"/>
          <w:color w:val="auto"/>
          <w:highlight w:val="none"/>
        </w:rPr>
        <w:t xml:space="preserve">张艳芬 </w:t>
      </w:r>
      <w:r>
        <w:rPr>
          <w:rFonts w:hint="eastAsia" w:ascii="宋体" w:hAnsi="宋体" w:cs="宋体"/>
          <w:color w:val="auto"/>
          <w:szCs w:val="21"/>
          <w:highlight w:val="none"/>
          <w:lang w:bidi="ar"/>
        </w:rPr>
        <w:t xml:space="preserve">     联系电话：0771-4915599</w:t>
      </w:r>
    </w:p>
    <w:p w14:paraId="08672AA1">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保证金退付联系人：</w:t>
      </w:r>
      <w:r>
        <w:rPr>
          <w:rFonts w:hint="eastAsia" w:ascii="宋体" w:hAnsi="宋体" w:cs="宋体"/>
          <w:color w:val="auto"/>
          <w:highlight w:val="none"/>
        </w:rPr>
        <w:t xml:space="preserve">张艳芬 </w:t>
      </w:r>
      <w:r>
        <w:rPr>
          <w:rFonts w:hint="eastAsia" w:ascii="宋体" w:hAnsi="宋体" w:cs="宋体"/>
          <w:color w:val="auto"/>
          <w:szCs w:val="21"/>
          <w:highlight w:val="none"/>
          <w:lang w:bidi="ar"/>
        </w:rPr>
        <w:t xml:space="preserve">       联系电话：0771-4915599</w:t>
      </w:r>
    </w:p>
    <w:p w14:paraId="4AE2B4C7">
      <w:pPr>
        <w:spacing w:line="380" w:lineRule="exact"/>
        <w:ind w:firstLine="630" w:firstLineChars="300"/>
        <w:rPr>
          <w:rFonts w:hint="default" w:ascii="宋体" w:hAnsi="宋体" w:eastAsia="宋体" w:cs="宋体"/>
          <w:color w:val="auto"/>
          <w:highlight w:val="none"/>
          <w:lang w:val="en-US" w:eastAsia="zh-CN"/>
        </w:rPr>
      </w:pPr>
      <w:r>
        <w:rPr>
          <w:rFonts w:hint="eastAsia" w:ascii="宋体" w:hAnsi="宋体" w:cs="宋体"/>
          <w:color w:val="auto"/>
          <w:szCs w:val="21"/>
          <w:highlight w:val="none"/>
          <w:lang w:bidi="ar"/>
        </w:rPr>
        <w:t>公司邮箱：gxguojian@126.com     邮编：5300</w:t>
      </w:r>
      <w:r>
        <w:rPr>
          <w:rFonts w:hint="eastAsia" w:ascii="宋体" w:hAnsi="宋体" w:cs="宋体"/>
          <w:color w:val="auto"/>
          <w:szCs w:val="21"/>
          <w:highlight w:val="none"/>
          <w:lang w:val="en-US" w:eastAsia="zh-CN" w:bidi="ar"/>
        </w:rPr>
        <w:t>31</w:t>
      </w:r>
    </w:p>
    <w:p w14:paraId="71AA24BE">
      <w:pPr>
        <w:spacing w:line="380" w:lineRule="exact"/>
        <w:ind w:firstLine="420" w:firstLineChars="200"/>
        <w:rPr>
          <w:rFonts w:hint="eastAsia" w:ascii="宋体" w:hAnsi="宋体" w:cs="宋体"/>
          <w:color w:val="auto"/>
          <w:highlight w:val="none"/>
        </w:rPr>
      </w:pPr>
    </w:p>
    <w:p w14:paraId="01CC410B">
      <w:pPr>
        <w:spacing w:line="380" w:lineRule="exact"/>
        <w:ind w:firstLine="420" w:firstLineChars="200"/>
        <w:rPr>
          <w:rFonts w:hint="eastAsia" w:ascii="宋体" w:hAnsi="宋体" w:cs="宋体"/>
          <w:color w:val="auto"/>
          <w:highlight w:val="none"/>
        </w:rPr>
      </w:pPr>
    </w:p>
    <w:p w14:paraId="38DD9788">
      <w:pPr>
        <w:snapToGrid w:val="0"/>
        <w:spacing w:line="380" w:lineRule="exact"/>
        <w:ind w:left="238"/>
        <w:jc w:val="right"/>
        <w:rPr>
          <w:rFonts w:hint="eastAsia" w:ascii="宋体" w:hAnsi="宋体" w:cs="宋体"/>
          <w:color w:val="auto"/>
          <w:highlight w:val="none"/>
        </w:rPr>
      </w:pPr>
      <w:r>
        <w:rPr>
          <w:rFonts w:hint="eastAsia" w:ascii="宋体" w:hAnsi="宋体" w:cs="宋体"/>
          <w:color w:val="auto"/>
          <w:szCs w:val="21"/>
          <w:highlight w:val="none"/>
          <w:lang w:bidi="ar"/>
        </w:rPr>
        <w:t>广西国建项目管理有限公司</w:t>
      </w:r>
    </w:p>
    <w:p w14:paraId="5DD1491E">
      <w:pPr>
        <w:widowControl/>
        <w:jc w:val="right"/>
        <w:rPr>
          <w:rFonts w:hint="eastAsia" w:ascii="宋体" w:hAnsi="宋体" w:cs="宋体"/>
          <w:color w:val="auto"/>
          <w:highlight w:val="none"/>
        </w:rPr>
      </w:pP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2025 </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11</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25</w:t>
      </w:r>
      <w:r>
        <w:rPr>
          <w:rFonts w:hint="eastAsia" w:ascii="宋体" w:hAnsi="宋体" w:cs="宋体"/>
          <w:color w:val="auto"/>
          <w:szCs w:val="21"/>
          <w:highlight w:val="none"/>
          <w:lang w:bidi="ar"/>
        </w:rPr>
        <w:t>日</w:t>
      </w:r>
      <w:r>
        <w:rPr>
          <w:rFonts w:hint="eastAsia" w:ascii="宋体" w:hAnsi="宋体" w:cs="宋体"/>
          <w:color w:val="auto"/>
          <w:sz w:val="24"/>
          <w:highlight w:val="none"/>
          <w:lang w:bidi="ar"/>
        </w:rPr>
        <w:t xml:space="preserve"> </w:t>
      </w:r>
    </w:p>
    <w:p w14:paraId="011EE3A1">
      <w:pPr>
        <w:widowControl/>
        <w:jc w:val="right"/>
        <w:rPr>
          <w:rFonts w:hint="eastAsia" w:ascii="宋体" w:hAnsi="宋体" w:cs="宋体"/>
          <w:color w:val="auto"/>
          <w:highlight w:val="none"/>
        </w:rPr>
      </w:pPr>
    </w:p>
    <w:p w14:paraId="12DBCFA8">
      <w:pPr>
        <w:spacing w:line="360" w:lineRule="exact"/>
        <w:jc w:val="right"/>
        <w:rPr>
          <w:rFonts w:hint="eastAsia" w:ascii="宋体" w:hAnsi="宋体" w:cs="宋体"/>
          <w:b/>
          <w:color w:val="auto"/>
          <w:sz w:val="32"/>
          <w:szCs w:val="32"/>
          <w:highlight w:val="none"/>
        </w:rPr>
      </w:pPr>
    </w:p>
    <w:p w14:paraId="3DA258A3">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2A33DD2">
      <w:pPr>
        <w:spacing w:line="400" w:lineRule="exact"/>
        <w:jc w:val="center"/>
        <w:rPr>
          <w:rFonts w:hint="eastAsia" w:ascii="宋体" w:hAnsi="宋体" w:cs="宋体"/>
          <w:b/>
          <w:color w:val="auto"/>
          <w:sz w:val="32"/>
          <w:szCs w:val="32"/>
          <w:highlight w:val="none"/>
        </w:rPr>
      </w:pPr>
    </w:p>
    <w:p w14:paraId="7470D35D">
      <w:pPr>
        <w:spacing w:line="400" w:lineRule="exact"/>
        <w:jc w:val="center"/>
        <w:rPr>
          <w:rFonts w:hint="eastAsia" w:ascii="宋体" w:hAnsi="宋体" w:cs="宋体"/>
          <w:b/>
          <w:color w:val="auto"/>
          <w:sz w:val="32"/>
          <w:szCs w:val="32"/>
          <w:highlight w:val="none"/>
        </w:rPr>
      </w:pPr>
    </w:p>
    <w:p w14:paraId="7ACCDCCB">
      <w:pPr>
        <w:spacing w:line="400" w:lineRule="exact"/>
        <w:jc w:val="center"/>
        <w:rPr>
          <w:rFonts w:hint="eastAsia" w:ascii="宋体" w:hAnsi="宋体" w:cs="宋体"/>
          <w:b/>
          <w:color w:val="auto"/>
          <w:sz w:val="32"/>
          <w:szCs w:val="32"/>
          <w:highlight w:val="none"/>
        </w:rPr>
      </w:pPr>
    </w:p>
    <w:p w14:paraId="18B93CF3">
      <w:pPr>
        <w:spacing w:line="400" w:lineRule="exact"/>
        <w:jc w:val="center"/>
        <w:rPr>
          <w:rFonts w:hint="eastAsia" w:ascii="宋体" w:hAnsi="宋体" w:cs="宋体"/>
          <w:b/>
          <w:color w:val="auto"/>
          <w:sz w:val="32"/>
          <w:szCs w:val="32"/>
          <w:highlight w:val="none"/>
        </w:rPr>
      </w:pPr>
    </w:p>
    <w:p w14:paraId="57BB34D2">
      <w:pPr>
        <w:spacing w:line="400" w:lineRule="exact"/>
        <w:jc w:val="center"/>
        <w:rPr>
          <w:rFonts w:hint="eastAsia" w:ascii="宋体" w:hAnsi="宋体" w:cs="宋体"/>
          <w:b/>
          <w:color w:val="auto"/>
          <w:sz w:val="32"/>
          <w:szCs w:val="32"/>
          <w:highlight w:val="none"/>
        </w:rPr>
      </w:pPr>
    </w:p>
    <w:p w14:paraId="63E13121">
      <w:pPr>
        <w:spacing w:line="400" w:lineRule="exact"/>
        <w:jc w:val="center"/>
        <w:rPr>
          <w:rFonts w:hint="eastAsia" w:ascii="宋体" w:hAnsi="宋体" w:cs="宋体"/>
          <w:b/>
          <w:color w:val="auto"/>
          <w:sz w:val="32"/>
          <w:szCs w:val="32"/>
          <w:highlight w:val="none"/>
        </w:rPr>
      </w:pPr>
    </w:p>
    <w:p w14:paraId="1B9FB497">
      <w:pPr>
        <w:spacing w:line="400" w:lineRule="exact"/>
        <w:jc w:val="center"/>
        <w:rPr>
          <w:rFonts w:hint="eastAsia" w:ascii="宋体" w:hAnsi="宋体" w:cs="宋体"/>
          <w:b/>
          <w:color w:val="auto"/>
          <w:sz w:val="32"/>
          <w:szCs w:val="32"/>
          <w:highlight w:val="none"/>
        </w:rPr>
      </w:pPr>
    </w:p>
    <w:p w14:paraId="7FED6412">
      <w:pPr>
        <w:spacing w:line="400" w:lineRule="exact"/>
        <w:jc w:val="center"/>
        <w:rPr>
          <w:rFonts w:hint="eastAsia" w:ascii="宋体" w:hAnsi="宋体" w:cs="宋体"/>
          <w:b/>
          <w:color w:val="auto"/>
          <w:sz w:val="32"/>
          <w:szCs w:val="32"/>
          <w:highlight w:val="none"/>
        </w:rPr>
      </w:pPr>
    </w:p>
    <w:p w14:paraId="52D31FF6">
      <w:pPr>
        <w:spacing w:line="400" w:lineRule="exact"/>
        <w:jc w:val="center"/>
        <w:rPr>
          <w:rFonts w:hint="eastAsia" w:ascii="宋体" w:hAnsi="宋体" w:cs="宋体"/>
          <w:b/>
          <w:color w:val="auto"/>
          <w:sz w:val="32"/>
          <w:szCs w:val="32"/>
          <w:highlight w:val="none"/>
        </w:rPr>
      </w:pPr>
    </w:p>
    <w:p w14:paraId="1AFE19A0">
      <w:pPr>
        <w:spacing w:line="400" w:lineRule="exact"/>
        <w:rPr>
          <w:rFonts w:hint="eastAsia" w:ascii="宋体" w:hAnsi="宋体" w:cs="宋体"/>
          <w:b/>
          <w:color w:val="auto"/>
          <w:sz w:val="32"/>
          <w:szCs w:val="32"/>
          <w:highlight w:val="none"/>
        </w:rPr>
      </w:pPr>
    </w:p>
    <w:p w14:paraId="203F42A8">
      <w:pPr>
        <w:pStyle w:val="12"/>
        <w:rPr>
          <w:rFonts w:hint="eastAsia" w:ascii="宋体" w:hAnsi="宋体" w:cs="宋体"/>
          <w:color w:val="auto"/>
          <w:sz w:val="44"/>
          <w:szCs w:val="44"/>
          <w:highlight w:val="none"/>
        </w:rPr>
      </w:pPr>
      <w:bookmarkStart w:id="34" w:name="_Toc476258663"/>
      <w:bookmarkStart w:id="35" w:name="_Toc9106"/>
      <w:r>
        <w:rPr>
          <w:rFonts w:hint="eastAsia" w:ascii="宋体" w:hAnsi="宋体" w:cs="宋体"/>
          <w:color w:val="auto"/>
          <w:sz w:val="44"/>
          <w:szCs w:val="44"/>
          <w:highlight w:val="none"/>
        </w:rPr>
        <w:t>第二章  磋商供应商须知</w:t>
      </w:r>
      <w:bookmarkEnd w:id="34"/>
      <w:bookmarkEnd w:id="35"/>
    </w:p>
    <w:p w14:paraId="7195C906">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磋商供应商须知前附表</w:t>
      </w:r>
    </w:p>
    <w:tbl>
      <w:tblPr>
        <w:tblStyle w:val="13"/>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380B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vAlign w:val="top"/>
          </w:tcPr>
          <w:p w14:paraId="2D1D143C">
            <w:pPr>
              <w:pStyle w:val="17"/>
              <w:spacing w:line="400" w:lineRule="exact"/>
              <w:jc w:val="center"/>
              <w:rPr>
                <w:rFonts w:hint="eastAsia" w:hAnsi="宋体" w:cs="宋体"/>
                <w:color w:val="auto"/>
                <w:highlight w:val="none"/>
              </w:rPr>
            </w:pPr>
            <w:r>
              <w:rPr>
                <w:rFonts w:hint="eastAsia" w:hAnsi="宋体" w:cs="宋体"/>
                <w:color w:val="auto"/>
                <w:highlight w:val="none"/>
              </w:rPr>
              <w:t>序号</w:t>
            </w:r>
          </w:p>
        </w:tc>
        <w:tc>
          <w:tcPr>
            <w:tcW w:w="9020" w:type="dxa"/>
            <w:vAlign w:val="top"/>
          </w:tcPr>
          <w:p w14:paraId="1592F9E0">
            <w:pPr>
              <w:pStyle w:val="17"/>
              <w:spacing w:line="400" w:lineRule="exact"/>
              <w:jc w:val="center"/>
              <w:rPr>
                <w:rFonts w:hint="eastAsia" w:hAnsi="宋体" w:cs="宋体"/>
                <w:color w:val="auto"/>
                <w:highlight w:val="none"/>
              </w:rPr>
            </w:pPr>
            <w:r>
              <w:rPr>
                <w:rFonts w:hint="eastAsia" w:hAnsi="宋体" w:cs="宋体"/>
                <w:color w:val="auto"/>
                <w:highlight w:val="none"/>
              </w:rPr>
              <w:t>内    容</w:t>
            </w:r>
          </w:p>
        </w:tc>
      </w:tr>
      <w:tr w14:paraId="01DA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056B1EFB">
            <w:pPr>
              <w:pStyle w:val="17"/>
              <w:numPr>
                <w:ilvl w:val="0"/>
                <w:numId w:val="1"/>
              </w:numPr>
              <w:spacing w:line="390" w:lineRule="exact"/>
              <w:jc w:val="center"/>
              <w:rPr>
                <w:rFonts w:hint="eastAsia" w:hAnsi="宋体" w:cs="宋体"/>
                <w:color w:val="auto"/>
                <w:highlight w:val="none"/>
              </w:rPr>
            </w:pPr>
          </w:p>
        </w:tc>
        <w:tc>
          <w:tcPr>
            <w:tcW w:w="9020" w:type="dxa"/>
            <w:vAlign w:val="center"/>
          </w:tcPr>
          <w:p w14:paraId="34A0FE3F">
            <w:pPr>
              <w:pStyle w:val="17"/>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采购项目名称：</w:t>
            </w:r>
            <w:r>
              <w:rPr>
                <w:rFonts w:hint="eastAsia" w:hAnsi="宋体" w:cs="宋体"/>
                <w:color w:val="auto"/>
                <w:highlight w:val="none"/>
                <w:lang w:eastAsia="zh-CN"/>
              </w:rPr>
              <w:t>百色市人民医院智能导检系统升级服务</w:t>
            </w:r>
          </w:p>
          <w:p w14:paraId="67DABFF4">
            <w:pPr>
              <w:pStyle w:val="17"/>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采购项目编号：</w:t>
            </w:r>
            <w:r>
              <w:rPr>
                <w:rFonts w:hint="eastAsia" w:hAnsi="宋体" w:cs="宋体"/>
                <w:color w:val="auto"/>
                <w:highlight w:val="none"/>
                <w:lang w:eastAsia="zh-CN"/>
              </w:rPr>
              <w:t>GXGJ2025-C0164-S</w:t>
            </w:r>
          </w:p>
        </w:tc>
      </w:tr>
      <w:tr w14:paraId="002F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14:paraId="63AC7B78">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F6C8898">
            <w:pPr>
              <w:pStyle w:val="7"/>
              <w:spacing w:line="390" w:lineRule="exact"/>
              <w:rPr>
                <w:rFonts w:hint="eastAsia" w:hAnsi="宋体" w:cs="宋体"/>
                <w:color w:val="auto"/>
                <w:highlight w:val="none"/>
              </w:rPr>
            </w:pPr>
            <w:r>
              <w:rPr>
                <w:rFonts w:hint="eastAsia" w:hAnsi="宋体" w:cs="宋体"/>
                <w:color w:val="auto"/>
                <w:highlight w:val="none"/>
              </w:rPr>
              <w:t>供应商资格：详见磋商公告</w:t>
            </w:r>
          </w:p>
        </w:tc>
      </w:tr>
      <w:tr w14:paraId="2E4F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6FB29EC">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07D40CB">
            <w:pPr>
              <w:spacing w:line="390" w:lineRule="exact"/>
              <w:rPr>
                <w:rFonts w:hint="eastAsia"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14:paraId="4904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B1EAFF4">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9A9F74B">
            <w:pPr>
              <w:spacing w:line="390" w:lineRule="exact"/>
              <w:rPr>
                <w:rFonts w:hint="eastAsia" w:ascii="宋体" w:hAnsi="宋体" w:cs="宋体"/>
                <w:color w:val="auto"/>
                <w:highlight w:val="none"/>
              </w:rPr>
            </w:pPr>
            <w:r>
              <w:rPr>
                <w:rFonts w:hint="eastAsia" w:ascii="宋体" w:hAnsi="宋体" w:cs="宋体"/>
                <w:color w:val="auto"/>
                <w:highlight w:val="none"/>
              </w:rPr>
              <w:t>成交服务费：本项目的成交服务费按本须知21.1款规定计取，由成交供应商在签订合同前，一次性向采购代理机构支付。</w:t>
            </w:r>
          </w:p>
        </w:tc>
      </w:tr>
      <w:tr w14:paraId="1B01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117F28E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56E023B1">
            <w:pPr>
              <w:pStyle w:val="7"/>
              <w:spacing w:line="390" w:lineRule="exact"/>
              <w:rPr>
                <w:rFonts w:hint="eastAsia"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14:paraId="736BAA2F">
            <w:pPr>
              <w:pStyle w:val="7"/>
              <w:spacing w:line="390" w:lineRule="exact"/>
              <w:rPr>
                <w:rFonts w:hint="eastAsia" w:hAnsi="宋体" w:cs="宋体"/>
                <w:color w:val="auto"/>
                <w:highlight w:val="none"/>
              </w:rPr>
            </w:pPr>
            <w:r>
              <w:rPr>
                <w:rFonts w:hint="eastAsia" w:hAnsi="宋体" w:cs="宋体"/>
                <w:color w:val="auto"/>
                <w:highlight w:val="none"/>
              </w:rPr>
              <w:t>1、响应文件电子版形式与份数：可编辑的word文档格式与盖章后扫描的PDF格式各1份。</w:t>
            </w:r>
          </w:p>
          <w:p w14:paraId="7F87F581">
            <w:pPr>
              <w:pStyle w:val="7"/>
              <w:spacing w:line="390" w:lineRule="exact"/>
              <w:rPr>
                <w:rFonts w:hint="eastAsia" w:hAnsi="宋体" w:cs="宋体"/>
                <w:color w:val="auto"/>
                <w:highlight w:val="none"/>
              </w:rPr>
            </w:pPr>
            <w:r>
              <w:rPr>
                <w:rFonts w:hint="eastAsia" w:hAnsi="宋体" w:cs="宋体"/>
                <w:color w:val="auto"/>
                <w:highlight w:val="none"/>
              </w:rPr>
              <w:t>2、响应文件电子版密封方式：将响应文件电子版U盘与纸质版响应文件一并装入响应文件袋中。</w:t>
            </w:r>
          </w:p>
        </w:tc>
      </w:tr>
      <w:tr w14:paraId="555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8BF37FE">
            <w:pPr>
              <w:pStyle w:val="17"/>
              <w:numPr>
                <w:ilvl w:val="0"/>
                <w:numId w:val="1"/>
              </w:numPr>
              <w:spacing w:line="390" w:lineRule="exact"/>
              <w:jc w:val="center"/>
              <w:rPr>
                <w:rFonts w:hint="eastAsia" w:hAnsi="宋体" w:cs="宋体"/>
                <w:color w:val="auto"/>
                <w:highlight w:val="none"/>
              </w:rPr>
            </w:pPr>
          </w:p>
        </w:tc>
        <w:tc>
          <w:tcPr>
            <w:tcW w:w="9020" w:type="dxa"/>
            <w:vAlign w:val="center"/>
          </w:tcPr>
          <w:p w14:paraId="2491D1A1">
            <w:pPr>
              <w:pStyle w:val="17"/>
              <w:spacing w:line="390" w:lineRule="exact"/>
              <w:rPr>
                <w:rFonts w:hint="eastAsia"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详见磋商公告</w:t>
            </w:r>
          </w:p>
          <w:p w14:paraId="33C52402">
            <w:pPr>
              <w:pStyle w:val="7"/>
              <w:spacing w:line="390" w:lineRule="exact"/>
              <w:rPr>
                <w:rFonts w:hint="eastAsia"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详见磋商公告</w:t>
            </w:r>
          </w:p>
        </w:tc>
      </w:tr>
      <w:tr w14:paraId="1254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71E06C93">
            <w:pPr>
              <w:pStyle w:val="17"/>
              <w:numPr>
                <w:ilvl w:val="0"/>
                <w:numId w:val="1"/>
              </w:numPr>
              <w:spacing w:line="390" w:lineRule="exact"/>
              <w:jc w:val="center"/>
              <w:rPr>
                <w:rFonts w:hint="eastAsia" w:hAnsi="宋体" w:cs="宋体"/>
                <w:color w:val="auto"/>
                <w:highlight w:val="none"/>
              </w:rPr>
            </w:pPr>
          </w:p>
        </w:tc>
        <w:tc>
          <w:tcPr>
            <w:tcW w:w="9020" w:type="dxa"/>
            <w:vAlign w:val="center"/>
          </w:tcPr>
          <w:p w14:paraId="41F29686">
            <w:pPr>
              <w:pStyle w:val="17"/>
              <w:spacing w:line="390" w:lineRule="exact"/>
              <w:rPr>
                <w:rFonts w:hint="eastAsia" w:hAnsi="宋体" w:cs="宋体"/>
                <w:color w:val="auto"/>
                <w:highlight w:val="none"/>
              </w:rPr>
            </w:pPr>
            <w:r>
              <w:rPr>
                <w:rFonts w:hint="eastAsia" w:hAnsi="宋体" w:cs="宋体"/>
                <w:color w:val="auto"/>
                <w:highlight w:val="none"/>
              </w:rPr>
              <w:t>竞争性磋商响应文件有效期：响应文件递交截止日期后六十日。</w:t>
            </w:r>
          </w:p>
          <w:p w14:paraId="75992D07">
            <w:pPr>
              <w:pStyle w:val="7"/>
              <w:spacing w:line="390" w:lineRule="exact"/>
              <w:rPr>
                <w:rFonts w:hint="eastAsia" w:hAnsi="宋体" w:cs="宋体"/>
                <w:color w:val="auto"/>
                <w:highlight w:val="none"/>
              </w:rPr>
            </w:pPr>
            <w:r>
              <w:rPr>
                <w:rFonts w:hint="eastAsia" w:hAnsi="宋体" w:cs="宋体"/>
                <w:color w:val="auto"/>
                <w:highlight w:val="none"/>
              </w:rPr>
              <w:t>1、未成交的响应文件有效期内均应保持有效。</w:t>
            </w:r>
          </w:p>
          <w:p w14:paraId="6A761D4B">
            <w:pPr>
              <w:pStyle w:val="7"/>
              <w:spacing w:line="390" w:lineRule="exact"/>
              <w:rPr>
                <w:rFonts w:hint="eastAsia"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14:paraId="64D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B4CFA19">
            <w:pPr>
              <w:pStyle w:val="17"/>
              <w:numPr>
                <w:ilvl w:val="0"/>
                <w:numId w:val="1"/>
              </w:numPr>
              <w:spacing w:line="390" w:lineRule="exact"/>
              <w:jc w:val="center"/>
              <w:rPr>
                <w:rFonts w:hint="eastAsia" w:hAnsi="宋体" w:cs="宋体"/>
                <w:color w:val="auto"/>
                <w:highlight w:val="none"/>
              </w:rPr>
            </w:pPr>
          </w:p>
        </w:tc>
        <w:tc>
          <w:tcPr>
            <w:tcW w:w="9020" w:type="dxa"/>
            <w:vAlign w:val="center"/>
          </w:tcPr>
          <w:p w14:paraId="3441423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磋商保证金金额：详见磋商公告；</w:t>
            </w:r>
          </w:p>
          <w:p w14:paraId="7D85C8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磋商保证金缴纳方式：详见磋商公告；</w:t>
            </w:r>
          </w:p>
          <w:p w14:paraId="40133DF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磋商保证金指定账户：详见磋商公告；</w:t>
            </w:r>
          </w:p>
          <w:p w14:paraId="31E70E36">
            <w:pPr>
              <w:snapToGrid w:val="0"/>
              <w:spacing w:line="360" w:lineRule="exact"/>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磋商保证金缴纳</w:t>
            </w:r>
            <w:r>
              <w:rPr>
                <w:rFonts w:hint="eastAsia" w:ascii="宋体" w:hAnsi="宋体" w:cs="宋体"/>
                <w:color w:val="auto"/>
                <w:highlight w:val="none"/>
              </w:rPr>
              <w:t>相关要求：</w:t>
            </w:r>
          </w:p>
          <w:p w14:paraId="28E460EC">
            <w:pPr>
              <w:snapToGrid w:val="0"/>
              <w:spacing w:line="360" w:lineRule="exact"/>
              <w:rPr>
                <w:rFonts w:hint="eastAsia" w:ascii="宋体" w:hAnsi="宋体" w:cs="宋体"/>
                <w:color w:val="auto"/>
                <w:highlight w:val="none"/>
              </w:rPr>
            </w:pPr>
            <w:r>
              <w:rPr>
                <w:rFonts w:hint="eastAsia" w:ascii="宋体" w:hAnsi="宋体" w:cs="宋体"/>
                <w:color w:val="auto"/>
                <w:highlight w:val="none"/>
              </w:rPr>
              <w:t>1、磋商保证金采用</w:t>
            </w:r>
            <w:r>
              <w:rPr>
                <w:rFonts w:hint="eastAsia" w:ascii="宋体" w:hAnsi="宋体" w:cs="宋体"/>
                <w:bCs/>
                <w:color w:val="auto"/>
                <w:szCs w:val="21"/>
                <w:highlight w:val="none"/>
                <w:lang w:bidi="ar"/>
              </w:rPr>
              <w:t>银行转账、电汇、网上支付</w:t>
            </w:r>
            <w:r>
              <w:rPr>
                <w:rFonts w:hint="eastAsia" w:ascii="宋体" w:hAnsi="宋体" w:cs="宋体"/>
                <w:color w:val="auto"/>
                <w:highlight w:val="none"/>
              </w:rPr>
              <w:t>方式提交的，在响应文件提交截止时间前交至采购代理机构指定账户并且到账，供应商应将转账汇款凭证的复印件作为磋商保证金提交证明，放置于响应文件中，否则响应文件作无效处理。</w:t>
            </w:r>
          </w:p>
          <w:p w14:paraId="758A5E99">
            <w:pPr>
              <w:snapToGrid w:val="0"/>
              <w:spacing w:line="360" w:lineRule="exact"/>
              <w:rPr>
                <w:rFonts w:hint="eastAsia" w:ascii="宋体" w:hAnsi="宋体" w:cs="宋体"/>
                <w:color w:val="auto"/>
                <w:highlight w:val="none"/>
              </w:rPr>
            </w:pPr>
            <w:r>
              <w:rPr>
                <w:rFonts w:hint="eastAsia" w:ascii="宋体" w:hAnsi="宋体" w:cs="宋体"/>
                <w:color w:val="auto"/>
                <w:highlight w:val="none"/>
              </w:rPr>
              <w:t>2、供应商为联合体的，可以由联合体中的一方或者多方共同交纳磋商保证金，其交纳的保证金对联合体各方均具有约束力。</w:t>
            </w:r>
          </w:p>
          <w:p w14:paraId="62B053E0">
            <w:pPr>
              <w:snapToGrid w:val="0"/>
              <w:spacing w:line="360" w:lineRule="exact"/>
              <w:rPr>
                <w:rFonts w:hint="eastAsia" w:ascii="宋体" w:hAnsi="宋体" w:cs="宋体"/>
                <w:color w:val="auto"/>
                <w:highlight w:val="none"/>
              </w:rPr>
            </w:pPr>
            <w:r>
              <w:rPr>
                <w:rFonts w:hint="eastAsia" w:ascii="宋体" w:hAnsi="宋体" w:cs="宋体"/>
                <w:color w:val="auto"/>
                <w:highlight w:val="none"/>
              </w:rPr>
              <w:t>备注：</w:t>
            </w:r>
          </w:p>
          <w:p w14:paraId="083AC127">
            <w:pPr>
              <w:snapToGrid w:val="0"/>
              <w:spacing w:line="360" w:lineRule="exact"/>
              <w:rPr>
                <w:rFonts w:hint="eastAsia" w:ascii="宋体" w:hAnsi="宋体" w:cs="宋体"/>
                <w:color w:val="auto"/>
                <w:highlight w:val="none"/>
              </w:rPr>
            </w:pPr>
            <w:r>
              <w:rPr>
                <w:rFonts w:hint="eastAsia" w:ascii="宋体" w:hAnsi="宋体" w:cs="宋体"/>
                <w:color w:val="auto"/>
                <w:highlight w:val="none"/>
              </w:rPr>
              <w:t>1、响应文件提交截止时间后提交的，或未足额交纳的，视为无效磋商保证金。</w:t>
            </w:r>
          </w:p>
          <w:p w14:paraId="2707708E">
            <w:pPr>
              <w:snapToGrid w:val="0"/>
              <w:spacing w:line="360" w:lineRule="exact"/>
              <w:rPr>
                <w:rFonts w:hint="eastAsia" w:ascii="宋体" w:hAnsi="宋体" w:cs="宋体"/>
                <w:color w:val="auto"/>
                <w:highlight w:val="none"/>
              </w:rPr>
            </w:pPr>
            <w:r>
              <w:rPr>
                <w:rFonts w:hint="eastAsia" w:ascii="宋体" w:hAnsi="宋体" w:cs="宋体"/>
                <w:color w:val="auto"/>
                <w:highlight w:val="none"/>
              </w:rPr>
              <w:t>2、供应商采用现钞方式或从个人账户（自然人投标除外）转出的磋商保证金，视为无效磋商保证金。</w:t>
            </w:r>
          </w:p>
          <w:p w14:paraId="51D1CF78">
            <w:pPr>
              <w:snapToGrid w:val="0"/>
              <w:spacing w:line="360" w:lineRule="exact"/>
              <w:rPr>
                <w:rFonts w:hint="eastAsia" w:ascii="宋体" w:hAnsi="宋体" w:cs="宋体"/>
                <w:color w:val="auto"/>
                <w:highlight w:val="none"/>
              </w:rPr>
            </w:pPr>
            <w:r>
              <w:rPr>
                <w:rFonts w:hint="eastAsia" w:ascii="宋体" w:hAnsi="宋体" w:cs="宋体"/>
                <w:color w:val="auto"/>
                <w:highlight w:val="none"/>
              </w:rPr>
              <w:t>二、磋商保证金退还：</w:t>
            </w:r>
          </w:p>
          <w:p w14:paraId="4DC914BA">
            <w:pPr>
              <w:snapToGrid w:val="0"/>
              <w:spacing w:line="360" w:lineRule="exact"/>
              <w:rPr>
                <w:rFonts w:hint="eastAsia" w:ascii="宋体" w:hAnsi="宋体" w:cs="宋体"/>
                <w:color w:val="auto"/>
                <w:highlight w:val="none"/>
              </w:rPr>
            </w:pPr>
            <w:r>
              <w:rPr>
                <w:rFonts w:hint="eastAsia" w:ascii="宋体" w:hAnsi="宋体" w:cs="宋体"/>
                <w:color w:val="auto"/>
                <w:highlight w:val="none"/>
              </w:rPr>
              <w:t>1、未成交人的磋商保证金自成交通知书发出之日起5个工作日内，以转账方式退回到供应商银行账户。</w:t>
            </w:r>
          </w:p>
          <w:p w14:paraId="2D517DA8">
            <w:pPr>
              <w:snapToGrid w:val="0"/>
              <w:spacing w:line="360" w:lineRule="exact"/>
              <w:rPr>
                <w:rFonts w:hint="eastAsia" w:ascii="宋体" w:hAnsi="宋体" w:cs="宋体"/>
                <w:color w:val="auto"/>
                <w:highlight w:val="none"/>
              </w:rPr>
            </w:pPr>
            <w:r>
              <w:rPr>
                <w:rFonts w:hint="eastAsia" w:ascii="宋体" w:hAnsi="宋体" w:cs="宋体"/>
                <w:color w:val="auto"/>
                <w:highlight w:val="none"/>
              </w:rPr>
              <w:t>2、成交人的磋商保证金自合同签订并送达采购代理机构存档后5个工作日内退还，退还方式同未成交人。</w:t>
            </w:r>
          </w:p>
        </w:tc>
      </w:tr>
      <w:tr w14:paraId="4AAC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A0F2A10">
            <w:pPr>
              <w:pStyle w:val="17"/>
              <w:numPr>
                <w:ilvl w:val="0"/>
                <w:numId w:val="1"/>
              </w:numPr>
              <w:spacing w:line="390" w:lineRule="exact"/>
              <w:jc w:val="center"/>
              <w:rPr>
                <w:rFonts w:hint="eastAsia" w:hAnsi="宋体" w:cs="宋体"/>
                <w:color w:val="auto"/>
                <w:highlight w:val="none"/>
              </w:rPr>
            </w:pPr>
          </w:p>
        </w:tc>
        <w:tc>
          <w:tcPr>
            <w:tcW w:w="9020" w:type="dxa"/>
            <w:vAlign w:val="center"/>
          </w:tcPr>
          <w:p w14:paraId="4773626C">
            <w:pPr>
              <w:pStyle w:val="17"/>
              <w:spacing w:line="390" w:lineRule="exact"/>
              <w:rPr>
                <w:rFonts w:hint="eastAsia"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详见磋商公告</w:t>
            </w:r>
          </w:p>
          <w:p w14:paraId="705D70F2">
            <w:pPr>
              <w:pStyle w:val="17"/>
              <w:spacing w:line="390" w:lineRule="exact"/>
              <w:rPr>
                <w:rFonts w:hint="eastAsia"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详见磋商公告</w:t>
            </w:r>
          </w:p>
        </w:tc>
      </w:tr>
      <w:tr w14:paraId="738C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9BAFD83">
            <w:pPr>
              <w:pStyle w:val="17"/>
              <w:numPr>
                <w:ilvl w:val="0"/>
                <w:numId w:val="1"/>
              </w:numPr>
              <w:spacing w:line="390" w:lineRule="exact"/>
              <w:jc w:val="center"/>
              <w:rPr>
                <w:rFonts w:hint="eastAsia" w:hAnsi="宋体" w:cs="宋体"/>
                <w:color w:val="auto"/>
                <w:highlight w:val="none"/>
              </w:rPr>
            </w:pPr>
          </w:p>
        </w:tc>
        <w:tc>
          <w:tcPr>
            <w:tcW w:w="9020" w:type="dxa"/>
            <w:vAlign w:val="center"/>
          </w:tcPr>
          <w:p w14:paraId="6EB67A83">
            <w:pPr>
              <w:pStyle w:val="17"/>
              <w:spacing w:line="390" w:lineRule="exact"/>
              <w:rPr>
                <w:rFonts w:hint="eastAsia" w:hAnsi="宋体" w:cs="宋体"/>
                <w:color w:val="auto"/>
                <w:highlight w:val="none"/>
              </w:rPr>
            </w:pPr>
            <w:r>
              <w:rPr>
                <w:rFonts w:hint="eastAsia" w:hAnsi="宋体" w:cs="宋体"/>
                <w:color w:val="auto"/>
                <w:highlight w:val="none"/>
              </w:rPr>
              <w:t>评标方法：综合评分法（详细见第六章）</w:t>
            </w:r>
          </w:p>
        </w:tc>
      </w:tr>
      <w:tr w14:paraId="2B7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7A82141">
            <w:pPr>
              <w:pStyle w:val="17"/>
              <w:numPr>
                <w:ilvl w:val="0"/>
                <w:numId w:val="1"/>
              </w:numPr>
              <w:spacing w:line="390" w:lineRule="exact"/>
              <w:jc w:val="center"/>
              <w:rPr>
                <w:rFonts w:hint="eastAsia" w:hAnsi="宋体" w:cs="宋体"/>
                <w:color w:val="auto"/>
                <w:highlight w:val="none"/>
              </w:rPr>
            </w:pPr>
          </w:p>
        </w:tc>
        <w:tc>
          <w:tcPr>
            <w:tcW w:w="9020" w:type="dxa"/>
            <w:vAlign w:val="center"/>
          </w:tcPr>
          <w:p w14:paraId="16F48241">
            <w:pPr>
              <w:snapToGrid w:val="0"/>
              <w:spacing w:line="380" w:lineRule="exact"/>
              <w:rPr>
                <w:rFonts w:ascii="宋体" w:hAnsi="宋体" w:cs="宋体"/>
                <w:color w:val="auto"/>
                <w:szCs w:val="21"/>
                <w:highlight w:val="none"/>
              </w:rPr>
            </w:pPr>
            <w:r>
              <w:rPr>
                <w:rFonts w:hint="eastAsia" w:ascii="宋体" w:hAnsi="宋体"/>
                <w:color w:val="auto"/>
                <w:szCs w:val="21"/>
                <w:highlight w:val="none"/>
              </w:rPr>
              <w:t>允许负偏离项：</w:t>
            </w:r>
          </w:p>
          <w:p w14:paraId="065ADA32">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0 </w:t>
            </w:r>
            <w:r>
              <w:rPr>
                <w:rFonts w:hint="eastAsia" w:ascii="宋体" w:hAnsi="宋体"/>
                <w:color w:val="auto"/>
                <w:szCs w:val="21"/>
                <w:highlight w:val="none"/>
              </w:rPr>
              <w:t>项。</w:t>
            </w:r>
          </w:p>
          <w:p w14:paraId="5F5F1E0E">
            <w:pPr>
              <w:pStyle w:val="17"/>
              <w:spacing w:line="390" w:lineRule="exact"/>
              <w:rPr>
                <w:rFonts w:hint="eastAsia" w:hAnsi="宋体" w:cs="宋体"/>
                <w:color w:val="auto"/>
                <w:highlight w:val="none"/>
              </w:rPr>
            </w:pPr>
            <w:r>
              <w:rPr>
                <w:rFonts w:hint="eastAsia" w:hAnsi="宋体" w:cs="宋体"/>
                <w:color w:val="auto"/>
                <w:szCs w:val="21"/>
                <w:highlight w:val="none"/>
              </w:rPr>
              <w:t>技术需求</w:t>
            </w:r>
            <w:r>
              <w:rPr>
                <w:rFonts w:hint="eastAsia" w:hAnsi="宋体"/>
                <w:color w:val="auto"/>
                <w:szCs w:val="21"/>
                <w:highlight w:val="none"/>
              </w:rPr>
              <w:t>评审中允许负偏离的条款数为</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0 </w:t>
            </w:r>
            <w:r>
              <w:rPr>
                <w:rFonts w:hint="eastAsia" w:hAnsi="宋体"/>
                <w:color w:val="auto"/>
                <w:szCs w:val="21"/>
                <w:highlight w:val="none"/>
              </w:rPr>
              <w:t>项。</w:t>
            </w:r>
          </w:p>
        </w:tc>
      </w:tr>
      <w:tr w14:paraId="466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11021CE">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BCD10C1">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14:paraId="50107F38">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35C5807A">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查询起止时间：20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年1月1日起至提交响应文件截止时间前。</w:t>
            </w:r>
          </w:p>
          <w:p w14:paraId="765CD36E">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F9CEBAF">
            <w:pPr>
              <w:pStyle w:val="17"/>
              <w:spacing w:line="390" w:lineRule="exact"/>
              <w:rPr>
                <w:rFonts w:hint="eastAsia"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0F02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B06CDAB">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8D8E3A4">
            <w:pPr>
              <w:widowControl/>
              <w:rPr>
                <w:rFonts w:hint="default" w:ascii="宋体" w:hAnsi="宋体" w:eastAsia="宋体" w:cs="宋体"/>
                <w:color w:val="auto"/>
                <w:kern w:val="0"/>
                <w:sz w:val="24"/>
                <w:highlight w:val="none"/>
                <w:lang w:val="en-US" w:eastAsia="zh-CN"/>
              </w:rPr>
            </w:pPr>
            <w:r>
              <w:rPr>
                <w:rFonts w:hAnsi="宋体" w:cs="宋体"/>
                <w:color w:val="auto"/>
                <w:highlight w:val="none"/>
              </w:rPr>
              <w:t>1</w:t>
            </w:r>
            <w:r>
              <w:rPr>
                <w:rFonts w:hint="eastAsia" w:hAnsi="宋体" w:cs="宋体"/>
                <w:color w:val="auto"/>
                <w:highlight w:val="none"/>
              </w:rPr>
              <w:t>、履约保证金金额：</w:t>
            </w:r>
            <w:r>
              <w:rPr>
                <w:rFonts w:hint="eastAsia" w:hAnsi="宋体"/>
                <w:bCs/>
                <w:color w:val="auto"/>
                <w:highlight w:val="none"/>
                <w:lang w:val="en-US" w:eastAsia="zh-CN"/>
              </w:rPr>
              <w:t>本项目不收取履约保证金。</w:t>
            </w:r>
          </w:p>
          <w:p w14:paraId="4E2D79FA">
            <w:pPr>
              <w:pStyle w:val="17"/>
              <w:spacing w:line="390" w:lineRule="exact"/>
              <w:rPr>
                <w:rFonts w:hint="eastAsia" w:hAnsi="宋体" w:cs="宋体"/>
                <w:color w:val="auto"/>
                <w:highlight w:val="none"/>
              </w:rPr>
            </w:pPr>
            <w:r>
              <w:rPr>
                <w:rFonts w:hint="eastAsia" w:hAnsi="宋体" w:cs="宋体"/>
                <w:color w:val="auto"/>
                <w:highlight w:val="none"/>
              </w:rPr>
              <w:t>履约保证金递交方式：银行转账、支票、汇票、本票或者金融、担保机构出具的保函等非现金方式。</w:t>
            </w:r>
          </w:p>
          <w:p w14:paraId="3E2857CE">
            <w:pPr>
              <w:pStyle w:val="17"/>
              <w:spacing w:line="390" w:lineRule="exact"/>
              <w:rPr>
                <w:rFonts w:hint="eastAsia" w:hAnsi="宋体" w:cs="宋体"/>
                <w:color w:val="auto"/>
                <w:highlight w:val="none"/>
              </w:rPr>
            </w:pPr>
            <w:r>
              <w:rPr>
                <w:rFonts w:hint="eastAsia" w:hAnsi="宋体" w:cs="宋体"/>
                <w:color w:val="auto"/>
                <w:highlight w:val="none"/>
              </w:rPr>
              <w:t>履约保证金指定账户：</w:t>
            </w:r>
          </w:p>
          <w:p w14:paraId="5FA2B7CB">
            <w:pPr>
              <w:pStyle w:val="7"/>
              <w:spacing w:line="390" w:lineRule="exact"/>
              <w:rPr>
                <w:rFonts w:hint="eastAsia" w:eastAsia="宋体"/>
                <w:color w:val="auto"/>
                <w:highlight w:val="none"/>
                <w:lang w:eastAsia="zh-CN"/>
              </w:rPr>
            </w:pPr>
            <w:r>
              <w:rPr>
                <w:rFonts w:hint="eastAsia"/>
                <w:color w:val="auto"/>
                <w:highlight w:val="none"/>
              </w:rPr>
              <w:t>开户名：</w:t>
            </w:r>
          </w:p>
          <w:p w14:paraId="68026ADC">
            <w:pPr>
              <w:pStyle w:val="7"/>
              <w:spacing w:line="390" w:lineRule="exact"/>
              <w:rPr>
                <w:rFonts w:hint="eastAsia"/>
                <w:color w:val="auto"/>
                <w:highlight w:val="none"/>
              </w:rPr>
            </w:pPr>
            <w:r>
              <w:rPr>
                <w:rFonts w:hint="eastAsia"/>
                <w:color w:val="auto"/>
                <w:highlight w:val="none"/>
              </w:rPr>
              <w:t>开户行：</w:t>
            </w:r>
          </w:p>
          <w:p w14:paraId="157F59D3">
            <w:pPr>
              <w:pStyle w:val="7"/>
              <w:spacing w:line="390" w:lineRule="exact"/>
              <w:rPr>
                <w:rFonts w:hint="eastAsia"/>
                <w:color w:val="auto"/>
                <w:highlight w:val="none"/>
              </w:rPr>
            </w:pPr>
            <w:r>
              <w:rPr>
                <w:rFonts w:hint="eastAsia"/>
                <w:color w:val="auto"/>
                <w:highlight w:val="none"/>
              </w:rPr>
              <w:t>账号：</w:t>
            </w:r>
          </w:p>
          <w:p w14:paraId="4D7ED17C">
            <w:pPr>
              <w:pStyle w:val="7"/>
              <w:spacing w:line="390" w:lineRule="exact"/>
              <w:rPr>
                <w:rFonts w:hint="eastAsia"/>
                <w:color w:val="auto"/>
                <w:highlight w:val="none"/>
              </w:rPr>
            </w:pPr>
            <w:r>
              <w:rPr>
                <w:rFonts w:hint="eastAsia"/>
                <w:color w:val="auto"/>
                <w:highlight w:val="none"/>
                <w:lang w:val="en-US" w:eastAsia="zh-CN"/>
              </w:rPr>
              <w:t>2、成交人在签订合同之前，足额提交履约保证金。未提交履约保证金的，不予签订合同。项目质免费保期满后，成交供应商提供相关服务佐证资料（证明已提供质保服务且无扣款），采购人按财务流程审批无误后，支付免费质保期内扣罚金额后剩余款项，扣款依据详见“售后服务要求”</w:t>
            </w:r>
            <w:r>
              <w:rPr>
                <w:rFonts w:hint="eastAsia"/>
                <w:color w:val="auto"/>
                <w:highlight w:val="none"/>
              </w:rPr>
              <w:t>。</w:t>
            </w:r>
          </w:p>
          <w:p w14:paraId="17F0B6CD">
            <w:pPr>
              <w:pStyle w:val="7"/>
              <w:spacing w:line="390" w:lineRule="exact"/>
              <w:rPr>
                <w:rFonts w:hint="eastAsia"/>
                <w:color w:val="auto"/>
                <w:highlight w:val="none"/>
                <w:lang w:val="en-US" w:eastAsia="zh-CN"/>
              </w:rPr>
            </w:pPr>
            <w:r>
              <w:rPr>
                <w:rFonts w:hint="eastAsia"/>
                <w:color w:val="auto"/>
                <w:highlight w:val="none"/>
                <w:lang w:val="en-US" w:eastAsia="zh-CN"/>
              </w:rPr>
              <w:t>3、在履约保证金退还日期前，若成交供应商的开户名称、开户银行、账号有变动的，请以书面形式通知采购人，否则由此产生的后果由成交供应商自行负责。</w:t>
            </w:r>
          </w:p>
          <w:p w14:paraId="68B0EC98">
            <w:pPr>
              <w:pStyle w:val="7"/>
              <w:spacing w:line="390" w:lineRule="exact"/>
              <w:rPr>
                <w:rFonts w:hint="eastAsia"/>
                <w:color w:val="auto"/>
                <w:highlight w:val="none"/>
              </w:rPr>
            </w:pPr>
            <w:r>
              <w:rPr>
                <w:rFonts w:hint="eastAsia"/>
                <w:color w:val="auto"/>
                <w:highlight w:val="none"/>
                <w:lang w:val="en-US" w:eastAsia="zh-CN"/>
              </w:rPr>
              <w:t>4、</w:t>
            </w:r>
            <w:r>
              <w:rPr>
                <w:rFonts w:hint="eastAsia"/>
                <w:color w:val="auto"/>
                <w:highlight w:val="none"/>
              </w:rPr>
              <w:t>履约保证金退还方式：</w:t>
            </w:r>
          </w:p>
          <w:p w14:paraId="245A27FF">
            <w:pPr>
              <w:pStyle w:val="7"/>
              <w:spacing w:line="390" w:lineRule="exact"/>
              <w:rPr>
                <w:rFonts w:hint="eastAsia"/>
                <w:color w:val="auto"/>
                <w:highlight w:val="none"/>
              </w:rPr>
            </w:pPr>
            <w:r>
              <w:rPr>
                <w:rFonts w:hint="eastAsia"/>
                <w:color w:val="auto"/>
                <w:highlight w:val="none"/>
              </w:rPr>
              <w:t>（1）采用银行转账方式的，以转账方式退回到供应商银行账户。</w:t>
            </w:r>
          </w:p>
          <w:p w14:paraId="0303A88C">
            <w:pPr>
              <w:pStyle w:val="7"/>
              <w:spacing w:line="390" w:lineRule="exact"/>
              <w:rPr>
                <w:rFonts w:hint="eastAsia"/>
                <w:color w:val="auto"/>
                <w:highlight w:val="none"/>
              </w:rPr>
            </w:pPr>
            <w:r>
              <w:rPr>
                <w:rFonts w:hint="eastAsia"/>
                <w:color w:val="auto"/>
                <w:highlight w:val="none"/>
              </w:rPr>
              <w:t>（2）采用支票、汇票或本票方式的，</w:t>
            </w:r>
            <w:r>
              <w:rPr>
                <w:rFonts w:hint="eastAsia" w:hAnsi="宋体" w:cs="宋体"/>
                <w:color w:val="auto"/>
                <w:highlight w:val="none"/>
              </w:rPr>
              <w:t>以转账方式退回到供应商银行账户或由供应商代表持相关授权证明材料至履约保证金收取单位办理支票、汇票或本票原件退还手续</w:t>
            </w:r>
            <w:r>
              <w:rPr>
                <w:rFonts w:hint="eastAsia"/>
                <w:color w:val="auto"/>
                <w:highlight w:val="none"/>
              </w:rPr>
              <w:t>。</w:t>
            </w:r>
          </w:p>
          <w:p w14:paraId="3D019248">
            <w:pPr>
              <w:pStyle w:val="17"/>
              <w:spacing w:line="390" w:lineRule="exact"/>
              <w:rPr>
                <w:rFonts w:hint="eastAsia"/>
                <w:color w:val="auto"/>
                <w:highlight w:val="none"/>
              </w:rPr>
            </w:pPr>
            <w:r>
              <w:rPr>
                <w:rFonts w:hint="eastAsia"/>
                <w:color w:val="auto"/>
                <w:highlight w:val="none"/>
              </w:rPr>
              <w:t>（3）采用金融机构、担保机构、保险机构出具的保函、保险单方式的，</w:t>
            </w:r>
            <w:r>
              <w:rPr>
                <w:rFonts w:hint="eastAsia" w:hAnsi="宋体" w:cs="宋体"/>
                <w:color w:val="auto"/>
                <w:highlight w:val="none"/>
              </w:rPr>
              <w:t>由供应商代表持相关授权证明材料至履约保证金收取单位办理保函、保险单原件退还手续。</w:t>
            </w:r>
          </w:p>
        </w:tc>
      </w:tr>
      <w:tr w14:paraId="0F3C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E65B9A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5A3E8D4B">
            <w:pPr>
              <w:pStyle w:val="17"/>
              <w:spacing w:line="390" w:lineRule="exact"/>
              <w:rPr>
                <w:rFonts w:hint="eastAsia" w:hAnsi="宋体" w:cs="宋体"/>
                <w:color w:val="auto"/>
                <w:highlight w:val="none"/>
              </w:rPr>
            </w:pPr>
            <w:r>
              <w:rPr>
                <w:rFonts w:hint="eastAsia" w:hAnsi="宋体" w:cs="宋体"/>
                <w:color w:val="auto"/>
                <w:highlight w:val="none"/>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0FA579ED">
            <w:pPr>
              <w:pStyle w:val="17"/>
              <w:spacing w:line="390" w:lineRule="exact"/>
              <w:rPr>
                <w:rFonts w:hint="eastAsia"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53F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02F17C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84DBEAD">
            <w:pPr>
              <w:pStyle w:val="17"/>
              <w:spacing w:line="390" w:lineRule="exact"/>
              <w:rPr>
                <w:rFonts w:hint="eastAsia" w:hAnsi="宋体" w:cs="宋体"/>
                <w:color w:val="auto"/>
                <w:highlight w:val="none"/>
              </w:rPr>
            </w:pPr>
            <w:r>
              <w:rPr>
                <w:rFonts w:hint="eastAsia" w:hAnsi="宋体"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5033CAE5">
      <w:pPr>
        <w:spacing w:line="400" w:lineRule="exact"/>
        <w:jc w:val="center"/>
        <w:rPr>
          <w:rFonts w:hint="eastAsia" w:ascii="宋体" w:hAnsi="宋体" w:cs="宋体"/>
          <w:b/>
          <w:color w:val="auto"/>
          <w:sz w:val="32"/>
          <w:szCs w:val="32"/>
          <w:highlight w:val="none"/>
        </w:rPr>
      </w:pPr>
    </w:p>
    <w:p w14:paraId="228CDD71">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w:t>
      </w:r>
    </w:p>
    <w:p w14:paraId="5DA6BE1E">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一、总　则</w:t>
      </w:r>
    </w:p>
    <w:p w14:paraId="433F6651">
      <w:pPr>
        <w:spacing w:line="340" w:lineRule="exact"/>
        <w:jc w:val="center"/>
        <w:rPr>
          <w:rFonts w:hint="eastAsia" w:ascii="宋体" w:hAnsi="宋体" w:cs="宋体"/>
          <w:b/>
          <w:color w:val="auto"/>
          <w:sz w:val="32"/>
          <w:szCs w:val="32"/>
          <w:highlight w:val="none"/>
        </w:rPr>
      </w:pPr>
    </w:p>
    <w:p w14:paraId="301C60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适用范围</w:t>
      </w:r>
    </w:p>
    <w:p w14:paraId="2811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本文件仅适用于本文件中所叙述的服务类采购项目。</w:t>
      </w:r>
    </w:p>
    <w:p w14:paraId="140FC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定义</w:t>
      </w:r>
    </w:p>
    <w:p w14:paraId="2A4388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hAnsi="宋体" w:cs="宋体"/>
          <w:color w:val="auto"/>
          <w:kern w:val="2"/>
          <w:sz w:val="21"/>
          <w:szCs w:val="20"/>
          <w:highlight w:val="none"/>
          <w:lang w:eastAsia="zh-CN"/>
        </w:rPr>
        <w:t>百色市人民医院</w:t>
      </w:r>
      <w:r>
        <w:rPr>
          <w:rFonts w:hint="eastAsia" w:ascii="宋体" w:hAnsi="宋体" w:cs="宋体"/>
          <w:color w:val="auto"/>
          <w:szCs w:val="21"/>
          <w:highlight w:val="none"/>
        </w:rPr>
        <w:t>。</w:t>
      </w:r>
    </w:p>
    <w:p w14:paraId="2F6D7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14:paraId="5F8120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2.3“磋商供应商”是指响应本文件要求，参加磋商的法人或者其他组织和自然人。如果该供应商在本次磋商中成交,即成为“成交供应商”。</w:t>
      </w:r>
    </w:p>
    <w:p w14:paraId="36A3B1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E2A9D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14:paraId="069FAC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2.6“竞争性磋商响应文件”是指：供应商根据本文件要求，编制包含报价、技术和服务等所有内容的文件。</w:t>
      </w:r>
    </w:p>
    <w:p w14:paraId="1F251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磋商供应商的基本条件：详见须知前附表。</w:t>
      </w:r>
    </w:p>
    <w:p w14:paraId="7A094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磋商费用、代理服务费</w:t>
      </w:r>
    </w:p>
    <w:p w14:paraId="1444BA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4.1磋商供应商应自行承担所有与编写和提交竞争性磋商响应文件有关的费用，不论磋商结果如何，采购人和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14:paraId="04081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14:paraId="7FEA13D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磋商文件的澄清和修改：</w:t>
      </w:r>
    </w:p>
    <w:p w14:paraId="0B3421CB">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14:paraId="66BFF6C7">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0D8DBA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5.3磋商</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1D542CD9">
      <w:pPr>
        <w:pStyle w:val="7"/>
        <w:snapToGrid w:val="0"/>
        <w:spacing w:line="360" w:lineRule="auto"/>
        <w:ind w:firstLine="422" w:firstLineChars="200"/>
        <w:rPr>
          <w:rFonts w:hAnsi="宋体" w:cs="宋体"/>
          <w:b/>
          <w:color w:val="auto"/>
          <w:highlight w:val="none"/>
        </w:rPr>
      </w:pPr>
      <w:r>
        <w:rPr>
          <w:rFonts w:hint="eastAsia" w:hAnsi="宋体" w:cs="宋体"/>
          <w:b/>
          <w:color w:val="auto"/>
          <w:highlight w:val="none"/>
        </w:rPr>
        <w:t>6.联合体竞标</w:t>
      </w:r>
    </w:p>
    <w:p w14:paraId="694B0C12">
      <w:pPr>
        <w:widowControl/>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14:paraId="2D6A1B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二、竞争性磋商响应文件的编制</w:t>
      </w:r>
    </w:p>
    <w:p w14:paraId="38A0D7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竞争性磋商响应文件编制基本要求</w:t>
      </w:r>
    </w:p>
    <w:p w14:paraId="482425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7.1磋商供应商对竞争性磋商响应文件的编制应按要求装订和封装。</w:t>
      </w:r>
    </w:p>
    <w:p w14:paraId="73F42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7.2磋商供应商提交的竞争性磋商响应文件以及磋商供应商与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6F789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7.3除技术要求中另有规定外，本文件所要求使用的计量单位均应采用国家法定计量单位。</w:t>
      </w:r>
    </w:p>
    <w:p w14:paraId="626E1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7.4磋商供应商应认真阅读、并充分理解本文件的全部内容（包括所有的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14:paraId="7799C9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7.5竞争性磋商响应文件必须按本文件的全部内容，包括所有的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14:paraId="0BC7BC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7.6如因磋商供应商只填写和提供了本文件要求的部分内容和附件，而给磋商小组评审造成困难，其可能导致的结果和责任由磋商供应商自行承担。</w:t>
      </w:r>
    </w:p>
    <w:p w14:paraId="635AF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7.7竞争性磋商响应文件的组成：竞争性磋商响应文件应由价格文件和商务技术文件两个部分组成（要求装订成一本）。</w:t>
      </w:r>
    </w:p>
    <w:p w14:paraId="3DD8683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7.7.1第一部分：价格文件</w:t>
      </w:r>
    </w:p>
    <w:p w14:paraId="0D9A8F2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14:paraId="622D8A5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7.7.2 第二部分：商务技术文件</w:t>
      </w:r>
      <w:r>
        <w:rPr>
          <w:rFonts w:hint="eastAsia" w:ascii="宋体" w:hAnsi="宋体" w:cs="宋体"/>
          <w:color w:val="auto"/>
          <w:szCs w:val="21"/>
          <w:highlight w:val="none"/>
        </w:rPr>
        <w:t>（以下文件要求必须提供的文件应加盖公章按要求提供，否则竞标无效。）</w:t>
      </w:r>
    </w:p>
    <w:p w14:paraId="3D4B9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1）磋商书、磋商声明书及无围标串标行为的承诺函；（附件二）</w:t>
      </w:r>
      <w:r>
        <w:rPr>
          <w:rFonts w:hint="eastAsia" w:ascii="宋体" w:hAnsi="宋体" w:cs="宋体"/>
          <w:b/>
          <w:color w:val="auto"/>
          <w:szCs w:val="21"/>
          <w:highlight w:val="none"/>
        </w:rPr>
        <w:t>[必须提供]</w:t>
      </w:r>
    </w:p>
    <w:p w14:paraId="07369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2）商务、技术（服务）响应、偏离情况说明表；（附件三）</w:t>
      </w:r>
      <w:r>
        <w:rPr>
          <w:rFonts w:hint="eastAsia" w:ascii="宋体" w:hAnsi="宋体" w:cs="宋体"/>
          <w:b/>
          <w:color w:val="auto"/>
          <w:szCs w:val="21"/>
          <w:highlight w:val="none"/>
        </w:rPr>
        <w:t>[必须提供]</w:t>
      </w:r>
    </w:p>
    <w:p w14:paraId="5A890D8D">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5EB843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；（附件四）</w:t>
      </w:r>
      <w:r>
        <w:rPr>
          <w:rFonts w:hint="eastAsia" w:ascii="宋体" w:hAnsi="宋体" w:cs="宋体"/>
          <w:b/>
          <w:color w:val="auto"/>
          <w:highlight w:val="none"/>
        </w:rPr>
        <w:t xml:space="preserve"> [委托代理时</w:t>
      </w:r>
      <w:r>
        <w:rPr>
          <w:rFonts w:hint="eastAsia" w:ascii="宋体" w:hAnsi="宋体" w:cs="宋体"/>
          <w:b/>
          <w:bCs/>
          <w:color w:val="auto"/>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14:paraId="08A1F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5）有效的营业执照等</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证明文件复印件；</w:t>
      </w:r>
    </w:p>
    <w:p w14:paraId="01A28B93">
      <w:pPr>
        <w:spacing w:line="360" w:lineRule="auto"/>
        <w:ind w:firstLine="420" w:firstLineChars="200"/>
        <w:rPr>
          <w:rFonts w:hint="eastAsia" w:ascii="宋体" w:hAnsi="宋体" w:cs="宋体"/>
          <w:b/>
          <w:color w:val="auto"/>
          <w:highlight w:val="none"/>
        </w:rPr>
      </w:pPr>
      <w:r>
        <w:rPr>
          <w:rFonts w:hint="eastAsia" w:ascii="宋体" w:hAnsi="宋体" w:cs="宋体"/>
          <w:bCs/>
          <w:color w:val="auto"/>
          <w:highlight w:val="none"/>
        </w:rPr>
        <w:t>①</w:t>
      </w:r>
      <w:r>
        <w:rPr>
          <w:rFonts w:hint="eastAsia" w:ascii="宋体" w:hAnsi="宋体" w:cs="宋体"/>
          <w:color w:val="auto"/>
          <w:highlight w:val="none"/>
        </w:rPr>
        <w:t>磋商供应商有效的“营业执照”（磋商供应商为事业单位的不需要提供“营业执照”，但需提供“事业单位法人证书”）等证明文件复印件；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14:paraId="060C81E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②</w:t>
      </w:r>
      <w:r>
        <w:rPr>
          <w:rFonts w:hint="eastAsia" w:ascii="宋体" w:hAnsi="宋体" w:cs="宋体"/>
          <w:color w:val="auto"/>
          <w:szCs w:val="21"/>
          <w:highlight w:val="none"/>
        </w:rPr>
        <w:t>财务状况报告；[格式自拟，</w:t>
      </w:r>
      <w:r>
        <w:rPr>
          <w:rFonts w:hint="eastAsia" w:ascii="宋体" w:hAnsi="宋体" w:cs="宋体"/>
          <w:b/>
          <w:bCs/>
          <w:color w:val="auto"/>
          <w:szCs w:val="21"/>
          <w:highlight w:val="none"/>
        </w:rPr>
        <w:t>必须提供</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31300552">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响应文件递交截止之日前半年内磋商供应商连续三个月的依法缴纳税费或依法免缴税费的证明复印件；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无纳税记录的，应提供由磋商供应商所在地主管国税、地税部门出具的《依法纳税或依法免税证明》复印件；[格式自拟，原件备查] （新成立单位按实际提供）</w:t>
      </w:r>
    </w:p>
    <w:p w14:paraId="1E1C699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响应文件递交截止之日前半年内磋商供应商连续三个月的依法缴纳社保费的证明复印件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无缴费记录的，应提供由磋商供应商所在地社保部门出具的《依法缴纳或依法免缴社保费证明》复印件[格式自拟，原件备查]。（新成立单位按实际提供）</w:t>
      </w:r>
    </w:p>
    <w:p w14:paraId="1DE7AD72">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cs="宋体"/>
          <w:color w:val="auto"/>
          <w:kern w:val="0"/>
          <w:szCs w:val="21"/>
          <w:highlight w:val="none"/>
        </w:rPr>
        <w:t>参加采购活动前三年内在经营活动中没有重大违法记录和不良信用记录的书面声明</w:t>
      </w:r>
      <w:r>
        <w:rPr>
          <w:rFonts w:hint="eastAsia" w:ascii="宋体" w:hAnsi="宋体" w:cs="宋体"/>
          <w:color w:val="auto"/>
          <w:kern w:val="0"/>
          <w:sz w:val="24"/>
          <w:highlight w:val="none"/>
        </w:rPr>
        <w:t>；</w:t>
      </w:r>
      <w:r>
        <w:rPr>
          <w:rFonts w:hint="eastAsia" w:ascii="宋体" w:hAnsi="宋体" w:cs="宋体"/>
          <w:b/>
          <w:color w:val="auto"/>
          <w:szCs w:val="21"/>
          <w:highlight w:val="none"/>
        </w:rPr>
        <w:t>[格式自拟，必须提供]</w:t>
      </w:r>
    </w:p>
    <w:p w14:paraId="25271AB2">
      <w:pPr>
        <w:wordWrap w:val="0"/>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lang w:val="en-US" w:eastAsia="zh-CN"/>
        </w:rPr>
        <w:t>⑥</w:t>
      </w:r>
      <w:r>
        <w:rPr>
          <w:rFonts w:hint="eastAsia" w:ascii="宋体" w:hAnsi="宋体" w:cs="宋体"/>
          <w:bCs/>
          <w:color w:val="auto"/>
          <w:szCs w:val="21"/>
          <w:highlight w:val="none"/>
        </w:rPr>
        <w:t>具</w:t>
      </w:r>
      <w:r>
        <w:rPr>
          <w:rFonts w:hint="eastAsia" w:ascii="宋体" w:hAnsi="宋体" w:cs="宋体"/>
          <w:color w:val="auto"/>
          <w:szCs w:val="21"/>
          <w:highlight w:val="none"/>
        </w:rPr>
        <w:t>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[格式自拟，必须提供]</w:t>
      </w:r>
    </w:p>
    <w:p w14:paraId="6035EB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）磋商保证金的相关证明复印件；</w:t>
      </w:r>
      <w:r>
        <w:rPr>
          <w:rFonts w:hint="eastAsia" w:ascii="宋体" w:hAnsi="宋体" w:cs="宋体"/>
          <w:b/>
          <w:color w:val="auto"/>
          <w:highlight w:val="none"/>
        </w:rPr>
        <w:t>[必须提供，原件备查]</w:t>
      </w:r>
    </w:p>
    <w:p w14:paraId="1CFA2D35">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）本采购项目《采购需求》中要求必须提交的材料；</w:t>
      </w:r>
      <w:r>
        <w:rPr>
          <w:rFonts w:hint="eastAsia" w:ascii="宋体" w:hAnsi="宋体" w:cs="宋体"/>
          <w:b/>
          <w:color w:val="auto"/>
          <w:highlight w:val="none"/>
        </w:rPr>
        <w:t>[如有规定，则必须提供]</w:t>
      </w:r>
    </w:p>
    <w:p w14:paraId="6ADF6555">
      <w:pPr>
        <w:spacing w:line="360" w:lineRule="auto"/>
        <w:ind w:firstLine="420" w:firstLineChars="200"/>
        <w:rPr>
          <w:rFonts w:ascii="宋体" w:hAnsi="宋体" w:cs="宋体"/>
          <w:b/>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36" w:name="_Hlk190874919"/>
      <w:r>
        <w:rPr>
          <w:rFonts w:hint="eastAsia" w:ascii="宋体" w:hAnsi="宋体" w:cs="宋体"/>
          <w:color w:val="auto"/>
          <w:szCs w:val="21"/>
          <w:highlight w:val="none"/>
        </w:rPr>
        <w:t>服务方案；</w:t>
      </w:r>
      <w:r>
        <w:rPr>
          <w:rFonts w:hint="eastAsia" w:ascii="宋体" w:hAnsi="宋体" w:cs="宋体"/>
          <w:b/>
          <w:color w:val="auto"/>
          <w:szCs w:val="21"/>
          <w:highlight w:val="none"/>
        </w:rPr>
        <w:t>[格式自拟</w:t>
      </w:r>
      <w:r>
        <w:rPr>
          <w:rFonts w:hint="eastAsia" w:ascii="宋体" w:hAnsi="宋体" w:cs="宋体"/>
          <w:b/>
          <w:color w:val="auto"/>
          <w:highlight w:val="none"/>
        </w:rPr>
        <w:t>]</w:t>
      </w:r>
      <w:bookmarkEnd w:id="36"/>
    </w:p>
    <w:p w14:paraId="6FBBCEC9">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）服务承诺；</w:t>
      </w:r>
      <w:r>
        <w:rPr>
          <w:rFonts w:hint="eastAsia" w:ascii="宋体" w:hAnsi="宋体" w:cs="宋体"/>
          <w:b/>
          <w:color w:val="auto"/>
          <w:szCs w:val="21"/>
          <w:highlight w:val="none"/>
        </w:rPr>
        <w:t>[格式自拟，必须提供]</w:t>
      </w:r>
    </w:p>
    <w:p w14:paraId="73F95F6D">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）项目实施人员一览表；</w:t>
      </w:r>
    </w:p>
    <w:p w14:paraId="3013859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供应商认为有必要提供</w:t>
      </w:r>
      <w:r>
        <w:rPr>
          <w:rFonts w:hint="eastAsia" w:ascii="宋体" w:hAnsi="宋体" w:cs="宋体"/>
          <w:color w:val="auto"/>
          <w:szCs w:val="21"/>
          <w:highlight w:val="none"/>
        </w:rPr>
        <w:t>的其他证明材料</w:t>
      </w:r>
      <w:r>
        <w:rPr>
          <w:rFonts w:hint="eastAsia" w:ascii="宋体" w:hAnsi="宋体" w:cs="宋体"/>
          <w:color w:val="auto"/>
          <w:szCs w:val="21"/>
          <w:highlight w:val="none"/>
          <w:lang w:eastAsia="zh-CN"/>
        </w:rPr>
        <w:t>。</w:t>
      </w:r>
    </w:p>
    <w:p w14:paraId="5A103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以上文件均须加盖磋商供应商单位公章；应该有的必须提供，如未提供，磋商小组有权拒绝其响应文件。</w:t>
      </w:r>
    </w:p>
    <w:p w14:paraId="6C85150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三、报价要求</w:t>
      </w:r>
    </w:p>
    <w:p w14:paraId="64CE64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14:paraId="072FA1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8.2成交供应商负责本项目所需服务的提供、实施、售后服务等全部工作。</w:t>
      </w:r>
    </w:p>
    <w:p w14:paraId="736423CE">
      <w:pPr>
        <w:pStyle w:val="7"/>
        <w:spacing w:line="360" w:lineRule="auto"/>
        <w:ind w:firstLine="420"/>
        <w:rPr>
          <w:rFonts w:hint="eastAsia" w:hAnsi="宋体" w:cs="宋体"/>
          <w:color w:val="auto"/>
          <w:highlight w:val="none"/>
        </w:rPr>
      </w:pPr>
      <w:r>
        <w:rPr>
          <w:rFonts w:hint="eastAsia" w:hAnsi="宋体"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56F9D471">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8.4</w:t>
      </w:r>
      <w:r>
        <w:rPr>
          <w:rFonts w:hint="eastAsia" w:ascii="宋体" w:hAnsi="宋体" w:cs="宋体"/>
          <w:b/>
          <w:color w:val="auto"/>
          <w:highlight w:val="none"/>
        </w:rPr>
        <w:t>磋商报价：供应商必须就所竞项目的全部内容作完整唯一报价，漏项报价的或有选择的或有条件的报价，其响应文件将视为无效。</w:t>
      </w:r>
    </w:p>
    <w:p w14:paraId="0503F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14:paraId="2D9FFAE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375E175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四、竞争性磋商响应文件有效期</w:t>
      </w:r>
    </w:p>
    <w:p w14:paraId="1CA43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9.1自竞争性磋商响应文件递交截止日期后60日响应文件应保持有效。有效期不足的竞争性磋商响应文件将被拒绝。</w:t>
      </w:r>
    </w:p>
    <w:p w14:paraId="376C98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9.2在特殊情况下，采购代理机构可与磋商供应商协商延长竞争性磋商响应文件的有效期。</w:t>
      </w:r>
    </w:p>
    <w:p w14:paraId="07F6C9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9.3未成交的响应文件有效期内均应保持有效。</w:t>
      </w:r>
    </w:p>
    <w:p w14:paraId="47BC6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9.4成交供应商的响应文件有效期自响应文件提交截止之日起至合同履行完毕止均应保持有效。</w:t>
      </w:r>
    </w:p>
    <w:p w14:paraId="06DC9B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五、竞争性磋商响应文件书写及签名、盖章要求</w:t>
      </w:r>
    </w:p>
    <w:p w14:paraId="297E3B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14:paraId="397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10.2字迹潦草、表达不清或未按要求填写的竞争性磋商响应文件可能将被认定为无效的竞争性磋商响应文件。</w:t>
      </w:r>
    </w:p>
    <w:p w14:paraId="1145A9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10.3竞争性磋商响应文件应由法定代表人或委托代理人在凡规定签章处逐一签名和盖公章，否则将会在评审中按无效竞争性磋商响应文件处理。</w:t>
      </w:r>
    </w:p>
    <w:p w14:paraId="5DC5FE4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六、竞争性磋商响应文件的份数、封装、递交和撤回</w:t>
      </w:r>
    </w:p>
    <w:p w14:paraId="115BF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竞争性磋商响应文件的份数和封装</w:t>
      </w:r>
    </w:p>
    <w:p w14:paraId="16E86FD2">
      <w:pPr>
        <w:pStyle w:val="7"/>
        <w:spacing w:line="360" w:lineRule="auto"/>
        <w:ind w:firstLine="420"/>
        <w:rPr>
          <w:rFonts w:hint="eastAsia" w:hAnsi="宋体" w:cs="宋体"/>
          <w:color w:val="auto"/>
          <w:highlight w:val="none"/>
        </w:rPr>
      </w:pPr>
      <w:r>
        <w:rPr>
          <w:rFonts w:hint="eastAsia" w:hAnsi="宋体" w:cs="宋体"/>
          <w:color w:val="auto"/>
          <w:highlight w:val="none"/>
        </w:rPr>
        <w:t>11.1磋商供应商应将竞争性磋商响应文件中“价格文件”和“商务技术文件”装订成一本（两文件相隔之间用封面标识，封面写明“价格文件”、“商务技术文件”字样）。</w:t>
      </w:r>
    </w:p>
    <w:p w14:paraId="12CC4C44">
      <w:pPr>
        <w:pStyle w:val="7"/>
        <w:spacing w:line="360" w:lineRule="auto"/>
        <w:ind w:firstLine="420"/>
        <w:rPr>
          <w:rFonts w:hint="eastAsia" w:hAnsi="宋体" w:cs="宋体"/>
          <w:color w:val="auto"/>
          <w:highlight w:val="none"/>
        </w:rPr>
      </w:pPr>
      <w:r>
        <w:rPr>
          <w:rFonts w:hint="eastAsia" w:hAnsi="宋体" w:cs="宋体"/>
          <w:color w:val="auto"/>
          <w:highlight w:val="none"/>
        </w:rPr>
        <w:t>磋商供应商将竞争性磋商响应文件按正、副本分别装订成册，在每个正、副本封面上标明“正本”或“副本”，以及采购项目名称、采购项目编号、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、磋商供应商名称等内容。副本可以使用已在指定位置签字盖章的正本的复印件（封面除外），一旦正本和副本不符，以正本为准。</w:t>
      </w:r>
    </w:p>
    <w:p w14:paraId="133BC35E">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11.2竞争性磋商</w:t>
      </w:r>
      <w:r>
        <w:rPr>
          <w:rFonts w:hint="eastAsia" w:ascii="宋体" w:hAnsi="宋体" w:cs="宋体"/>
          <w:color w:val="auto"/>
          <w:highlight w:val="none"/>
        </w:rPr>
        <w:t>响应文件份数：正本一份，副本四份。供应商在递交响应文件时，同时递交响应文件电子版。</w:t>
      </w:r>
    </w:p>
    <w:p w14:paraId="0453FE9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1）竞争性磋商</w:t>
      </w:r>
      <w:r>
        <w:rPr>
          <w:rFonts w:hint="eastAsia" w:ascii="宋体" w:hAnsi="宋体" w:cs="宋体"/>
          <w:color w:val="auto"/>
          <w:highlight w:val="none"/>
        </w:rPr>
        <w:t>响应文件电子版形式与份数：可编辑的word文档格式与盖章后扫描的PDF格式各1份。</w:t>
      </w:r>
    </w:p>
    <w:p w14:paraId="6885983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2）竞争性磋商</w:t>
      </w:r>
      <w:r>
        <w:rPr>
          <w:rFonts w:hint="eastAsia" w:ascii="宋体" w:hAnsi="宋体" w:cs="宋体"/>
          <w:color w:val="auto"/>
          <w:highlight w:val="none"/>
        </w:rPr>
        <w:t>响应文件电子版密封方式：将响应文件电子版U盘与纸质版响应文件一并装入响应文件袋中。</w:t>
      </w:r>
    </w:p>
    <w:p w14:paraId="0A6FAFC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58955A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11.3竞标文件袋上应写明：</w:t>
      </w:r>
    </w:p>
    <w:p w14:paraId="70D53DB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14:paraId="7FB2C28F">
      <w:pPr>
        <w:spacing w:line="360" w:lineRule="auto"/>
        <w:ind w:firstLine="630" w:firstLineChars="300"/>
        <w:rPr>
          <w:rFonts w:hint="eastAsia"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14:paraId="7892FD8B">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14:paraId="6A53F77E">
      <w:pPr>
        <w:spacing w:line="360" w:lineRule="auto"/>
        <w:ind w:firstLine="630" w:firstLineChars="300"/>
        <w:rPr>
          <w:rFonts w:hint="eastAsia"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14:paraId="2BADBD8F">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磋商供应商名称</w:t>
      </w:r>
      <w:r>
        <w:rPr>
          <w:rFonts w:hint="eastAsia" w:ascii="宋体" w:hAnsi="宋体" w:cs="宋体"/>
          <w:bCs/>
          <w:color w:val="auto"/>
          <w:szCs w:val="21"/>
          <w:highlight w:val="none"/>
        </w:rPr>
        <w:t>：</w:t>
      </w:r>
    </w:p>
    <w:p w14:paraId="23E236EC">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14:paraId="03A5910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11.4竞争性磋商响应文件的密封以竞标文件袋无明显缝隙露出袋内文件且封口处有密封签章为合格。</w:t>
      </w:r>
    </w:p>
    <w:p w14:paraId="09FC08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11.5</w:t>
      </w:r>
      <w:r>
        <w:rPr>
          <w:rFonts w:hint="eastAsia" w:ascii="宋体" w:hAnsi="宋体" w:cs="宋体"/>
          <w:b/>
          <w:bCs/>
          <w:color w:val="auto"/>
          <w:szCs w:val="21"/>
          <w:highlight w:val="none"/>
        </w:rPr>
        <w:t>磋商供应商在递交竞争性磋商响应文件时未按本须知要求密封、标记的，采购代理机构有权拒收，拒收所产生的后果由磋商供应商自负。</w:t>
      </w:r>
    </w:p>
    <w:p w14:paraId="35D8F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竞争性磋商响应文件的递交和撤回</w:t>
      </w:r>
    </w:p>
    <w:p w14:paraId="48A6B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12.1竞争性磋商响应文件应于竞争性磋商文件中规定的时间前递交到指定地点位置。</w:t>
      </w:r>
    </w:p>
    <w:p w14:paraId="57943D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12.2递交竞争性磋商响应文件的地点：见“供应商须知前附表”。</w:t>
      </w:r>
    </w:p>
    <w:p w14:paraId="373C61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62DC19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13.迟交的竞争性磋商响应文件</w:t>
      </w:r>
    </w:p>
    <w:p w14:paraId="084D1A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按《政府采购法》的规定，逾期送达的或者未送达指定地点的竞争性磋商响应文件，采购代理机构拒绝接收。</w:t>
      </w:r>
    </w:p>
    <w:p w14:paraId="3FADAD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七、磋商保证金</w:t>
      </w:r>
    </w:p>
    <w:p w14:paraId="48B3BC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14.1供应商须按须知前附表的规定提交磋商保证金。否则，其响应文件将被拒绝。</w:t>
      </w:r>
    </w:p>
    <w:p w14:paraId="77C72B59">
      <w:pPr>
        <w:tabs>
          <w:tab w:val="left" w:pos="975"/>
        </w:tabs>
        <w:snapToGrid w:val="0"/>
        <w:spacing w:line="360" w:lineRule="auto"/>
        <w:ind w:firstLine="411" w:firstLineChars="196"/>
        <w:jc w:val="left"/>
        <w:rPr>
          <w:rFonts w:hint="eastAsia" w:ascii="宋体" w:hAnsi="宋体" w:cs="宋体"/>
          <w:color w:val="auto"/>
          <w:highlight w:val="none"/>
        </w:rPr>
      </w:pPr>
      <w:r>
        <w:rPr>
          <w:rFonts w:hint="eastAsia" w:ascii="宋体" w:hAnsi="宋体" w:cs="宋体"/>
          <w:color w:val="auto"/>
          <w:highlight w:val="none"/>
        </w:rPr>
        <w:t>14.2磋商保证金按须知前附表的规定退还供应商。</w:t>
      </w:r>
    </w:p>
    <w:p w14:paraId="302CA2F0">
      <w:pPr>
        <w:tabs>
          <w:tab w:val="left" w:pos="975"/>
        </w:tabs>
        <w:snapToGrid w:val="0"/>
        <w:spacing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14.3磋商供应商有下列情形之一的，保证金将不予退还：</w:t>
      </w:r>
    </w:p>
    <w:p w14:paraId="7C70333D">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响应文件的；</w:t>
      </w:r>
    </w:p>
    <w:p w14:paraId="3E94209C">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响应文件中提供虚假材料的；</w:t>
      </w:r>
    </w:p>
    <w:p w14:paraId="79FE0122">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16751A66">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4E7CA1E2">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451747A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磋商供应商</w:t>
      </w:r>
      <w:r>
        <w:rPr>
          <w:rFonts w:hint="eastAsia" w:ascii="宋体" w:hAnsi="宋体" w:cs="宋体"/>
          <w:b/>
          <w:color w:val="auto"/>
          <w:highlight w:val="none"/>
        </w:rPr>
        <w:t>已经被推荐为第一成交候选供应商后撤回</w:t>
      </w:r>
      <w:r>
        <w:rPr>
          <w:rFonts w:hint="eastAsia" w:ascii="宋体" w:hAnsi="宋体" w:cs="宋体"/>
          <w:b/>
          <w:color w:val="auto"/>
          <w:szCs w:val="21"/>
          <w:highlight w:val="none"/>
        </w:rPr>
        <w:t>竞争性磋商</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14:paraId="74FDBE9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、磋商程序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14:paraId="0EC0294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15.竞争性磋商响应文件无效的情形：</w:t>
      </w:r>
    </w:p>
    <w:p w14:paraId="200CAC5B">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15.1未实质性响应竞争性磋商文件的竞争性磋商响应文件按无效处理。</w:t>
      </w:r>
    </w:p>
    <w:p w14:paraId="1A69C30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15.2有下列情形之一的视为供应商相互串通参与磋商活动，竞争性磋商响应文件将被视为无效：</w:t>
      </w:r>
    </w:p>
    <w:p w14:paraId="11E0273B">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（1）不同供应商的竞争性磋商响应文件由同一单位或者个人编制；或不同供应商报名的IP地址一致的；</w:t>
      </w:r>
    </w:p>
    <w:p w14:paraId="646B5C17">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（2）不同供应商委托同一单位或者个人办理磋商活动事宜；</w:t>
      </w:r>
    </w:p>
    <w:p w14:paraId="5DA8275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（3）不同的供应商的竞争性磋商响应文件载明的项目管理员或者联系人员为同一个人；</w:t>
      </w:r>
    </w:p>
    <w:p w14:paraId="4073527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（4）不同供应商的竞争性磋商响应文件异常一致或磋商报价呈规律性差异；</w:t>
      </w:r>
    </w:p>
    <w:p w14:paraId="7D2BA45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（5）不同供应商的竞争性磋商响应文件相互混装；</w:t>
      </w:r>
    </w:p>
    <w:p w14:paraId="13532E8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（6）不同供应商的保证金从同一单位或者个人账户转出。</w:t>
      </w:r>
    </w:p>
    <w:p w14:paraId="406DE151">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15.3有下列情形之一的视为关联供应商参加同一合同项下采购活动，竞争性磋商响应文件将被视为无效：</w:t>
      </w:r>
    </w:p>
    <w:p w14:paraId="67BD9E0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（1）单位负责人为同一人或者存在直接控股、管理关系的不同供应商，参加同一合同项下采购活动；</w:t>
      </w:r>
    </w:p>
    <w:p w14:paraId="75031381">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（2）生产厂商授权给供应商后又参加同一合同项下的采购活动；生产厂商对同一品牌同一型号的货物委托多个代理商参加磋商活动。</w:t>
      </w:r>
    </w:p>
    <w:p w14:paraId="4083F01D">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15.4被拒绝的响应文件为无效。</w:t>
      </w:r>
    </w:p>
    <w:p w14:paraId="6DAC5D8A">
      <w:pPr>
        <w:tabs>
          <w:tab w:val="left" w:pos="975"/>
        </w:tabs>
        <w:snapToGrid w:val="0"/>
        <w:spacing w:line="360" w:lineRule="auto"/>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15.5磋商供应商竞争性磋商响应文件无效的，磋商小组应当告知有关供应商。</w:t>
      </w:r>
    </w:p>
    <w:p w14:paraId="5B05B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16.磋商</w:t>
      </w:r>
    </w:p>
    <w:p w14:paraId="579DE5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16.1第一轮磋商</w:t>
      </w:r>
    </w:p>
    <w:p w14:paraId="7F1DEC1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磋商时间及地点：详见本须知前附表第9项规定。</w:t>
      </w:r>
    </w:p>
    <w:p w14:paraId="0864E436">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077F575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2E9F85F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056C4A0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14:paraId="40E7374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16.2竞争性磋商文件变动</w:t>
      </w:r>
    </w:p>
    <w:p w14:paraId="4532699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A7BA8C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769131E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2DE241D9">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16.3第二轮磋商</w:t>
      </w:r>
    </w:p>
    <w:p w14:paraId="477ECF3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s="宋体"/>
          <w:color w:val="auto"/>
          <w:szCs w:val="21"/>
          <w:highlight w:val="none"/>
        </w:rPr>
        <w:t>本公司对磋商过程和重要磋商内容进行记录，磋商双方在记录上签字确认。</w:t>
      </w:r>
    </w:p>
    <w:p w14:paraId="27C2E4B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3DCCE1B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48E8265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16.4最后报价</w:t>
      </w:r>
    </w:p>
    <w:p w14:paraId="6DC51D8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ascii="宋体" w:hAnsi="宋体" w:cs="宋体"/>
          <w:bCs/>
          <w:color w:val="auto"/>
          <w:highlight w:val="none"/>
        </w:rPr>
        <w:t>（得分相同时，以磋商报价</w:t>
      </w:r>
      <w:r>
        <w:rPr>
          <w:rFonts w:hint="eastAsia" w:ascii="宋体" w:hAnsi="宋体" w:cs="宋体"/>
          <w:b/>
          <w:bCs/>
          <w:color w:val="auto"/>
          <w:highlight w:val="none"/>
        </w:rPr>
        <w:t>由低到高</w:t>
      </w:r>
      <w:r>
        <w:rPr>
          <w:rFonts w:hint="eastAsia" w:ascii="宋体" w:hAnsi="宋体" w:cs="宋体"/>
          <w:bCs/>
          <w:color w:val="auto"/>
          <w:highlight w:val="none"/>
        </w:rPr>
        <w:t>顺序排列；得分相同且报价相同的，按服务方案优劣顺序排列）</w:t>
      </w:r>
      <w:r>
        <w:rPr>
          <w:rFonts w:hint="eastAsia" w:ascii="宋体" w:hAnsi="宋体" w:cs="宋体"/>
          <w:color w:val="auto"/>
          <w:szCs w:val="21"/>
          <w:highlight w:val="none"/>
        </w:rPr>
        <w:t>，并编写评审报告。最后报价是供应商竞争性磋商响应文件的有效组成部分。</w:t>
      </w:r>
    </w:p>
    <w:p w14:paraId="2045DF81">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F400F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16.5在采购过程中符合要求的供应商或者报价未超过采购预算的供应商不足3家的，磋商活动终止。</w:t>
      </w:r>
    </w:p>
    <w:p w14:paraId="3F3FE5C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备注：①属于市场竞争不充分的科研项目，以及需要扶持的科技成果转化项目，提交最后报价的供应商可以为2家。</w:t>
      </w:r>
    </w:p>
    <w:p w14:paraId="6AEC68F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9BD4347">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16.6</w:t>
      </w:r>
      <w:r>
        <w:rPr>
          <w:rFonts w:hint="eastAsia" w:ascii="宋体" w:hAnsi="宋体" w:cs="宋体"/>
          <w:color w:val="auto"/>
          <w:highlight w:val="none"/>
        </w:rPr>
        <w:t>本采购项目的评审依据为竞争性磋商文件和竞争性磋商响应文件，采用的评标方法为</w:t>
      </w:r>
      <w:r>
        <w:rPr>
          <w:rFonts w:hint="eastAsia" w:ascii="宋体" w:hAnsi="宋体" w:cs="宋体"/>
          <w:b/>
          <w:color w:val="auto"/>
          <w:highlight w:val="none"/>
        </w:rPr>
        <w:t>综合评分法</w:t>
      </w:r>
      <w:r>
        <w:rPr>
          <w:rFonts w:hint="eastAsia" w:ascii="宋体" w:hAnsi="宋体" w:cs="宋体"/>
          <w:color w:val="auto"/>
          <w:highlight w:val="none"/>
        </w:rPr>
        <w:t>。</w:t>
      </w:r>
    </w:p>
    <w:p w14:paraId="4A2BA424">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九、确定成交供应商办法</w:t>
      </w:r>
    </w:p>
    <w:p w14:paraId="72A07740">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17.根据以下原则确定成交供应商：质量和服务均能满足</w:t>
      </w:r>
      <w:r>
        <w:rPr>
          <w:rFonts w:hint="eastAsia" w:ascii="宋体" w:hAnsi="宋体" w:cs="宋体"/>
          <w:color w:val="auto"/>
          <w:highlight w:val="none"/>
        </w:rPr>
        <w:t>竞争性磋商文件</w:t>
      </w:r>
      <w:r>
        <w:rPr>
          <w:rFonts w:hint="eastAsia" w:ascii="宋体" w:hAnsi="宋体" w:cs="宋体"/>
          <w:color w:val="auto"/>
          <w:kern w:val="0"/>
          <w:szCs w:val="21"/>
          <w:highlight w:val="none"/>
        </w:rPr>
        <w:t>实质性响应要求的供应商中按综合评分法的成交候选供应商推荐原则确定成交供应商。</w:t>
      </w:r>
    </w:p>
    <w:p w14:paraId="79D76B63">
      <w:pPr>
        <w:widowControl/>
        <w:tabs>
          <w:tab w:val="left" w:pos="540"/>
        </w:tabs>
        <w:spacing w:line="360" w:lineRule="auto"/>
        <w:ind w:firstLine="422" w:firstLineChars="200"/>
        <w:jc w:val="left"/>
        <w:rPr>
          <w:rFonts w:hint="eastAsia" w:ascii="宋体" w:hAnsi="宋体" w:cs="宋体"/>
          <w:b/>
          <w:color w:val="auto"/>
          <w:highlight w:val="none"/>
        </w:rPr>
      </w:pPr>
      <w:r>
        <w:rPr>
          <w:rFonts w:hint="eastAsia" w:ascii="宋体" w:hAnsi="宋体" w:cs="宋体"/>
          <w:b/>
          <w:color w:val="auto"/>
          <w:highlight w:val="none"/>
        </w:rPr>
        <w:t>十、成交结果公告</w:t>
      </w:r>
    </w:p>
    <w:p w14:paraId="15C99F92">
      <w:pPr>
        <w:widowControl/>
        <w:tabs>
          <w:tab w:val="left" w:pos="540"/>
        </w:tabs>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kern w:val="0"/>
          <w:szCs w:val="21"/>
          <w:highlight w:val="none"/>
        </w:rPr>
        <w:t>18.1</w:t>
      </w:r>
      <w:r>
        <w:rPr>
          <w:rFonts w:hint="eastAsia" w:ascii="宋体" w:hAnsi="宋体" w:cs="宋体"/>
          <w:color w:val="auto"/>
          <w:highlight w:val="none"/>
        </w:rPr>
        <w:t>采购代理机构在评审结束后2个工作日内将磋商评审报告送采购人确认，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bCs/>
          <w:color w:val="auto"/>
          <w:szCs w:val="21"/>
          <w:highlight w:val="none"/>
          <w:lang w:bidi="ar"/>
        </w:rPr>
        <w:t>采购与招标网、</w:t>
      </w:r>
      <w:r>
        <w:rPr>
          <w:rFonts w:hint="eastAsia" w:ascii="宋体" w:hAnsi="宋体" w:cs="宋体"/>
          <w:color w:val="auto"/>
          <w:szCs w:val="21"/>
          <w:highlight w:val="none"/>
          <w:lang w:bidi="ar"/>
        </w:rPr>
        <w:t>广西国建项目管理有限公司网</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14:paraId="6E35C620">
      <w:pPr>
        <w:pStyle w:val="7"/>
        <w:spacing w:line="360" w:lineRule="auto"/>
        <w:ind w:left="105" w:firstLine="315"/>
        <w:rPr>
          <w:rFonts w:hint="eastAsia" w:hAnsi="宋体" w:cs="宋体"/>
          <w:bCs/>
          <w:color w:val="auto"/>
          <w:highlight w:val="none"/>
        </w:rPr>
      </w:pPr>
      <w:r>
        <w:rPr>
          <w:rFonts w:hint="eastAsia" w:hAnsi="宋体" w:cs="宋体"/>
          <w:color w:val="auto"/>
          <w:highlight w:val="none"/>
        </w:rPr>
        <w:t>18.2磋商供应商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磋商供应商</w:t>
      </w:r>
      <w:r>
        <w:rPr>
          <w:rFonts w:hint="eastAsia" w:hAnsi="宋体" w:cs="宋体"/>
          <w:bCs/>
          <w:color w:val="auto"/>
          <w:highlight w:val="none"/>
        </w:rPr>
        <w:t>的书面质疑后七个工作日内做出答复，但答复的内容不得涉及商业秘密。</w:t>
      </w:r>
    </w:p>
    <w:p w14:paraId="5E024A30">
      <w:pPr>
        <w:pStyle w:val="7"/>
        <w:spacing w:line="360" w:lineRule="auto"/>
        <w:ind w:firstLine="420"/>
        <w:rPr>
          <w:rFonts w:hint="eastAsia" w:hAnsi="宋体" w:cs="宋体"/>
          <w:bCs/>
          <w:color w:val="auto"/>
          <w:highlight w:val="none"/>
        </w:rPr>
      </w:pPr>
      <w:r>
        <w:rPr>
          <w:rFonts w:hint="eastAsia" w:hAnsi="宋体" w:cs="宋体"/>
          <w:color w:val="auto"/>
          <w:highlight w:val="none"/>
        </w:rPr>
        <w:t>18.3</w:t>
      </w:r>
      <w:r>
        <w:rPr>
          <w:rFonts w:hint="eastAsia" w:hAnsi="宋体" w:cs="宋体"/>
          <w:bCs/>
          <w:color w:val="auto"/>
          <w:highlight w:val="none"/>
        </w:rPr>
        <w:t>质疑</w:t>
      </w:r>
      <w:r>
        <w:rPr>
          <w:rFonts w:hint="eastAsia" w:hAnsi="宋体" w:cs="宋体"/>
          <w:color w:val="auto"/>
          <w:highlight w:val="none"/>
        </w:rPr>
        <w:t>磋商供应商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14:paraId="461C7BFE">
      <w:pPr>
        <w:pStyle w:val="7"/>
        <w:spacing w:line="360" w:lineRule="auto"/>
        <w:ind w:firstLine="420"/>
        <w:rPr>
          <w:rFonts w:hint="eastAsia" w:hAnsi="宋体" w:cs="宋体"/>
          <w:color w:val="auto"/>
          <w:highlight w:val="none"/>
        </w:rPr>
      </w:pPr>
      <w:r>
        <w:rPr>
          <w:rFonts w:hint="eastAsia" w:hAnsi="宋体" w:cs="宋体"/>
          <w:color w:val="auto"/>
          <w:highlight w:val="none"/>
        </w:rPr>
        <w:t>质疑联系部门及电话为：广西国建项目管理有限公司                    0771-4915533</w:t>
      </w:r>
    </w:p>
    <w:p w14:paraId="2CB1E8D9">
      <w:pPr>
        <w:pStyle w:val="7"/>
        <w:spacing w:line="360" w:lineRule="auto"/>
        <w:ind w:firstLine="420"/>
        <w:rPr>
          <w:rFonts w:hint="eastAsia" w:hAnsi="宋体" w:cs="宋体"/>
          <w:color w:val="auto"/>
          <w:highlight w:val="none"/>
        </w:rPr>
      </w:pPr>
      <w:r>
        <w:rPr>
          <w:rFonts w:hint="eastAsia" w:hAnsi="宋体" w:cs="宋体"/>
          <w:color w:val="auto"/>
          <w:highlight w:val="none"/>
        </w:rPr>
        <w:t>通讯地址：广西南宁市白沙大道53号松宇时代17楼</w:t>
      </w:r>
    </w:p>
    <w:p w14:paraId="19401751">
      <w:pPr>
        <w:pStyle w:val="7"/>
        <w:spacing w:line="360" w:lineRule="auto"/>
        <w:ind w:firstLine="420"/>
        <w:rPr>
          <w:rFonts w:hint="eastAsia" w:hAnsi="宋体" w:cs="宋体"/>
          <w:b/>
          <w:color w:val="auto"/>
          <w:highlight w:val="none"/>
        </w:rPr>
      </w:pPr>
      <w:r>
        <w:rPr>
          <w:rFonts w:hint="eastAsia" w:hAnsi="宋体" w:cs="宋体"/>
          <w:b/>
          <w:color w:val="auto"/>
          <w:highlight w:val="none"/>
        </w:rPr>
        <w:t>十一、签订合同</w:t>
      </w:r>
    </w:p>
    <w:p w14:paraId="7EEC667D">
      <w:pPr>
        <w:pStyle w:val="7"/>
        <w:spacing w:line="360" w:lineRule="auto"/>
        <w:ind w:firstLine="420"/>
        <w:rPr>
          <w:rFonts w:hint="eastAsia" w:hAnsi="宋体" w:cs="宋体"/>
          <w:color w:val="auto"/>
          <w:highlight w:val="none"/>
        </w:rPr>
      </w:pPr>
      <w:r>
        <w:rPr>
          <w:rFonts w:hint="eastAsia" w:hAnsi="宋体" w:cs="宋体"/>
          <w:color w:val="auto"/>
          <w:highlight w:val="none"/>
        </w:rPr>
        <w:t>19.1签订合同时间：详见采购需求。</w:t>
      </w:r>
    </w:p>
    <w:p w14:paraId="0352FB59">
      <w:pPr>
        <w:pStyle w:val="7"/>
        <w:spacing w:line="360" w:lineRule="auto"/>
        <w:ind w:firstLine="420"/>
        <w:rPr>
          <w:rFonts w:hint="eastAsia" w:hAnsi="宋体" w:cs="宋体"/>
          <w:color w:val="auto"/>
          <w:kern w:val="0"/>
          <w:highlight w:val="none"/>
        </w:rPr>
      </w:pPr>
      <w:r>
        <w:rPr>
          <w:rFonts w:hint="eastAsia" w:hAnsi="宋体" w:cs="宋体"/>
          <w:color w:val="auto"/>
          <w:highlight w:val="none"/>
        </w:rPr>
        <w:t>19.2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31F06D57">
      <w:pPr>
        <w:pStyle w:val="7"/>
        <w:spacing w:line="360" w:lineRule="auto"/>
        <w:ind w:firstLine="420"/>
        <w:rPr>
          <w:rFonts w:hint="eastAsia" w:hAnsi="宋体" w:cs="宋体"/>
          <w:b/>
          <w:color w:val="auto"/>
          <w:highlight w:val="none"/>
        </w:rPr>
      </w:pPr>
      <w:r>
        <w:rPr>
          <w:rFonts w:hint="eastAsia" w:hAnsi="宋体" w:cs="宋体"/>
          <w:b/>
          <w:color w:val="auto"/>
          <w:highlight w:val="none"/>
        </w:rPr>
        <w:t>19.3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14:paraId="429FDBF9">
      <w:pPr>
        <w:pStyle w:val="7"/>
        <w:spacing w:line="360" w:lineRule="auto"/>
        <w:ind w:firstLine="420"/>
        <w:rPr>
          <w:rFonts w:hint="eastAsia" w:hAnsi="宋体" w:cs="宋体"/>
          <w:b/>
          <w:color w:val="auto"/>
          <w:highlight w:val="none"/>
        </w:rPr>
      </w:pPr>
      <w:r>
        <w:rPr>
          <w:rFonts w:hint="eastAsia" w:hAnsi="宋体" w:cs="宋体"/>
          <w:b/>
          <w:color w:val="auto"/>
          <w:highlight w:val="none"/>
        </w:rPr>
        <w:t>19.4履约保证金</w:t>
      </w:r>
    </w:p>
    <w:p w14:paraId="5C44D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（1）成交供应商须于签订合同前按磋商供应商须知前附表规定的金额及递交方式将履约保证金直接缴入指定账户。否则,不予办理签订合同。</w:t>
      </w:r>
    </w:p>
    <w:p w14:paraId="2C604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（2）签订合同后，如成交供应商不按双方签订的合同规定履约，则其全部履约保证金不予退还，履约保证金不足以赔偿损失的，按实际损失赔偿。</w:t>
      </w:r>
    </w:p>
    <w:p w14:paraId="60D734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按合同约定交货验收合格后，提交合同验收报告（格式见附件I），填写履约保证金退付意见书（格式见附件II），履约保证金由履约保证金收取单位按磋商供应商须知前附表规定的方式退还（不计利息）。</w:t>
      </w:r>
    </w:p>
    <w:p w14:paraId="1E8692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（4）在履约保证金退还日期前，若成交供应商的开户名称、开户银行、帐号有变动的，请以书面形式通知履约保证金收取单位，否则由此产生的后果由成交供应商自负。</w:t>
      </w:r>
    </w:p>
    <w:p w14:paraId="55A79FD3">
      <w:pPr>
        <w:pStyle w:val="7"/>
        <w:spacing w:line="360" w:lineRule="auto"/>
        <w:ind w:firstLine="420"/>
        <w:rPr>
          <w:rFonts w:hint="eastAsia" w:hAnsi="宋体" w:cs="宋体"/>
          <w:b/>
          <w:color w:val="auto"/>
          <w:highlight w:val="none"/>
        </w:rPr>
      </w:pPr>
      <w:r>
        <w:rPr>
          <w:rFonts w:hint="eastAsia" w:hAnsi="宋体" w:cs="宋体"/>
          <w:b/>
          <w:color w:val="auto"/>
          <w:highlight w:val="none"/>
        </w:rPr>
        <w:t>十二、适用法律</w:t>
      </w:r>
    </w:p>
    <w:p w14:paraId="7770E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20.采购当事人的一切活动均适用于《中华人民共和国政府采购法》及相关规定。最终磋商结束后，磋商小组不得再与磋商供应商进行任何形式的商谈。</w:t>
      </w:r>
    </w:p>
    <w:p w14:paraId="53B96F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十三、其他事项</w:t>
      </w:r>
    </w:p>
    <w:p w14:paraId="03FAD2F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21.1成交服务费</w:t>
      </w:r>
    </w:p>
    <w:p w14:paraId="579DC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（1）参照“桂价费(2011)55号文件标准及发改办价格(2003）857号文件”收费标准上浮20%收取。签订合同前，成交供应商须向广西国建项目管理有限公司一次付清成交服务费。</w:t>
      </w:r>
    </w:p>
    <w:p w14:paraId="68B624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（2）代理服务收费标准：</w:t>
      </w:r>
    </w:p>
    <w:tbl>
      <w:tblPr>
        <w:tblStyle w:val="13"/>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B46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top"/>
          </w:tcPr>
          <w:p w14:paraId="741E42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费率</w:t>
            </w:r>
          </w:p>
          <w:p w14:paraId="0BA17D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2279371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7337A1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00DE56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13EE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7453B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top"/>
          </w:tcPr>
          <w:p w14:paraId="664C189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vAlign w:val="top"/>
          </w:tcPr>
          <w:p w14:paraId="7F84CBB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vAlign w:val="top"/>
          </w:tcPr>
          <w:p w14:paraId="6B53B1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4F0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59390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vAlign w:val="top"/>
          </w:tcPr>
          <w:p w14:paraId="5EBA96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vAlign w:val="top"/>
          </w:tcPr>
          <w:p w14:paraId="68A7593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vAlign w:val="top"/>
          </w:tcPr>
          <w:p w14:paraId="29CEED9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14C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72EB75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vAlign w:val="top"/>
          </w:tcPr>
          <w:p w14:paraId="5C70E192">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vAlign w:val="top"/>
          </w:tcPr>
          <w:p w14:paraId="20E65DE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vAlign w:val="top"/>
          </w:tcPr>
          <w:p w14:paraId="0F8EE89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0DC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5CBFD1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vAlign w:val="top"/>
          </w:tcPr>
          <w:p w14:paraId="717CEDC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vAlign w:val="top"/>
          </w:tcPr>
          <w:p w14:paraId="7DAECF0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vAlign w:val="top"/>
          </w:tcPr>
          <w:p w14:paraId="270F6D8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19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67F9FC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top"/>
          </w:tcPr>
          <w:p w14:paraId="3D93001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vAlign w:val="top"/>
          </w:tcPr>
          <w:p w14:paraId="5A1CD47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vAlign w:val="top"/>
          </w:tcPr>
          <w:p w14:paraId="4743A50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bl>
    <w:p w14:paraId="6A5E891C">
      <w:pPr>
        <w:pStyle w:val="7"/>
        <w:spacing w:line="360" w:lineRule="auto"/>
        <w:ind w:firstLine="435"/>
        <w:rPr>
          <w:rFonts w:hint="eastAsia" w:hAnsi="宋体" w:cs="宋体"/>
          <w:color w:val="auto"/>
          <w:highlight w:val="none"/>
        </w:rPr>
      </w:pPr>
    </w:p>
    <w:p w14:paraId="3EFB31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注:招标代理服务收费按差额定率累进法计算。</w:t>
      </w:r>
    </w:p>
    <w:p w14:paraId="361691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（3）服务费指定银行账户：</w:t>
      </w:r>
    </w:p>
    <w:p w14:paraId="20AA0FF3">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开户名称：广西国建项目管理有限公司百色分公司</w:t>
      </w:r>
    </w:p>
    <w:p w14:paraId="28A38DEC">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开户银行：广西北部湾银行百色分行 </w:t>
      </w:r>
    </w:p>
    <w:p w14:paraId="79424ABC">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银行账号：8050 0624 4988 888</w:t>
      </w:r>
    </w:p>
    <w:p w14:paraId="33687A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21.2解释权</w:t>
      </w:r>
    </w:p>
    <w:p w14:paraId="360262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本竞争性磋商文件是根据国家有关法律、法规以及政府采购管理的有关规定和参照国际惯例编制，解释权属本采购代理机构。</w:t>
      </w:r>
    </w:p>
    <w:p w14:paraId="0BD46E78">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21.3</w:t>
      </w:r>
      <w:r>
        <w:rPr>
          <w:rFonts w:hint="eastAsia" w:ascii="宋体" w:hAnsi="宋体" w:cs="宋体"/>
          <w:b/>
          <w:color w:val="auto"/>
          <w:highlight w:val="none"/>
        </w:rPr>
        <w:t>有关事宜</w:t>
      </w:r>
    </w:p>
    <w:p w14:paraId="0E41B5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所有与本竞争性磋商文件有关的函电请按下列通讯地址联系：</w:t>
      </w:r>
    </w:p>
    <w:p w14:paraId="27D508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广西国建项目管理有限公司</w:t>
      </w:r>
    </w:p>
    <w:p w14:paraId="5A54CC02">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邮政编码：5300</w:t>
      </w:r>
      <w:r>
        <w:rPr>
          <w:rFonts w:hint="eastAsia" w:ascii="宋体" w:hAnsi="宋体" w:eastAsia="宋体" w:cs="宋体"/>
          <w:color w:val="auto"/>
          <w:szCs w:val="21"/>
          <w:highlight w:val="none"/>
          <w:lang w:val="en-US" w:eastAsia="zh-CN"/>
        </w:rPr>
        <w:t>31</w:t>
      </w:r>
    </w:p>
    <w:p w14:paraId="7C3C1D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通讯地址：广西南宁市白沙大道53号松宇时代17楼</w:t>
      </w:r>
    </w:p>
    <w:p w14:paraId="210CF65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话：0771—49155</w:t>
      </w:r>
      <w:r>
        <w:rPr>
          <w:rFonts w:hint="eastAsia" w:ascii="宋体" w:hAnsi="宋体" w:eastAsia="宋体" w:cs="宋体"/>
          <w:color w:val="auto"/>
          <w:szCs w:val="21"/>
          <w:highlight w:val="none"/>
          <w:lang w:val="en-US" w:eastAsia="zh-CN"/>
        </w:rPr>
        <w:t>33</w:t>
      </w:r>
    </w:p>
    <w:p w14:paraId="563B6EAF">
      <w:pPr>
        <w:spacing w:line="400" w:lineRule="exact"/>
        <w:ind w:firstLine="420" w:firstLineChars="200"/>
        <w:rPr>
          <w:rFonts w:hint="default" w:ascii="宋体" w:hAnsi="宋体" w:eastAsia="宋体" w:cs="宋体"/>
          <w:color w:val="auto"/>
          <w:szCs w:val="21"/>
          <w:highlight w:val="none"/>
          <w:lang w:val="en-US" w:eastAsia="zh-CN"/>
        </w:rPr>
      </w:pPr>
    </w:p>
    <w:p w14:paraId="65E63758">
      <w:pPr>
        <w:spacing w:line="400" w:lineRule="exact"/>
        <w:jc w:val="center"/>
        <w:rPr>
          <w:rFonts w:hint="eastAsia" w:ascii="宋体" w:hAnsi="宋体" w:cs="宋体"/>
          <w:b/>
          <w:color w:val="auto"/>
          <w:sz w:val="32"/>
          <w:szCs w:val="32"/>
          <w:highlight w:val="none"/>
        </w:rPr>
      </w:pPr>
    </w:p>
    <w:p w14:paraId="021720A9">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00D6237">
      <w:pPr>
        <w:spacing w:line="400" w:lineRule="exact"/>
        <w:jc w:val="center"/>
        <w:rPr>
          <w:rFonts w:hint="eastAsia" w:ascii="宋体" w:hAnsi="宋体" w:cs="宋体"/>
          <w:b/>
          <w:color w:val="auto"/>
          <w:sz w:val="32"/>
          <w:szCs w:val="32"/>
          <w:highlight w:val="none"/>
        </w:rPr>
      </w:pPr>
    </w:p>
    <w:p w14:paraId="4F12377E">
      <w:pPr>
        <w:spacing w:line="400" w:lineRule="exact"/>
        <w:jc w:val="center"/>
        <w:rPr>
          <w:rFonts w:hint="eastAsia" w:ascii="宋体" w:hAnsi="宋体" w:cs="宋体"/>
          <w:b/>
          <w:color w:val="auto"/>
          <w:sz w:val="32"/>
          <w:szCs w:val="32"/>
          <w:highlight w:val="none"/>
        </w:rPr>
      </w:pPr>
    </w:p>
    <w:p w14:paraId="4221717B">
      <w:pPr>
        <w:spacing w:line="400" w:lineRule="exact"/>
        <w:jc w:val="center"/>
        <w:rPr>
          <w:rFonts w:hint="eastAsia" w:ascii="宋体" w:hAnsi="宋体" w:cs="宋体"/>
          <w:b/>
          <w:color w:val="auto"/>
          <w:sz w:val="32"/>
          <w:szCs w:val="32"/>
          <w:highlight w:val="none"/>
        </w:rPr>
      </w:pPr>
    </w:p>
    <w:p w14:paraId="499BFADF">
      <w:pPr>
        <w:spacing w:line="400" w:lineRule="exact"/>
        <w:jc w:val="center"/>
        <w:rPr>
          <w:rFonts w:hint="eastAsia" w:ascii="宋体" w:hAnsi="宋体" w:cs="宋体"/>
          <w:b/>
          <w:color w:val="auto"/>
          <w:sz w:val="32"/>
          <w:szCs w:val="32"/>
          <w:highlight w:val="none"/>
        </w:rPr>
      </w:pPr>
    </w:p>
    <w:p w14:paraId="5B4AEE4E">
      <w:pPr>
        <w:spacing w:line="400" w:lineRule="exact"/>
        <w:jc w:val="center"/>
        <w:rPr>
          <w:rFonts w:hint="eastAsia" w:ascii="宋体" w:hAnsi="宋体" w:cs="宋体"/>
          <w:b/>
          <w:color w:val="auto"/>
          <w:sz w:val="32"/>
          <w:szCs w:val="32"/>
          <w:highlight w:val="none"/>
        </w:rPr>
      </w:pPr>
    </w:p>
    <w:p w14:paraId="4D6EFAF4">
      <w:pPr>
        <w:spacing w:line="400" w:lineRule="exact"/>
        <w:jc w:val="center"/>
        <w:rPr>
          <w:rFonts w:hint="eastAsia" w:ascii="宋体" w:hAnsi="宋体" w:cs="宋体"/>
          <w:b/>
          <w:color w:val="auto"/>
          <w:sz w:val="32"/>
          <w:szCs w:val="32"/>
          <w:highlight w:val="none"/>
        </w:rPr>
      </w:pPr>
    </w:p>
    <w:p w14:paraId="3F11F8F1">
      <w:pPr>
        <w:spacing w:line="400" w:lineRule="exact"/>
        <w:jc w:val="center"/>
        <w:rPr>
          <w:rFonts w:hint="eastAsia" w:ascii="宋体" w:hAnsi="宋体" w:cs="宋体"/>
          <w:b/>
          <w:color w:val="auto"/>
          <w:sz w:val="32"/>
          <w:szCs w:val="32"/>
          <w:highlight w:val="none"/>
        </w:rPr>
      </w:pPr>
    </w:p>
    <w:p w14:paraId="27115BEB">
      <w:pPr>
        <w:spacing w:line="400" w:lineRule="exact"/>
        <w:jc w:val="center"/>
        <w:rPr>
          <w:rFonts w:hint="eastAsia" w:ascii="宋体" w:hAnsi="宋体" w:cs="宋体"/>
          <w:b/>
          <w:color w:val="auto"/>
          <w:sz w:val="32"/>
          <w:szCs w:val="32"/>
          <w:highlight w:val="none"/>
        </w:rPr>
      </w:pPr>
    </w:p>
    <w:p w14:paraId="7D3348A2">
      <w:pPr>
        <w:spacing w:line="400" w:lineRule="exact"/>
        <w:jc w:val="center"/>
        <w:rPr>
          <w:rFonts w:hint="eastAsia" w:ascii="宋体" w:hAnsi="宋体" w:cs="宋体"/>
          <w:b/>
          <w:color w:val="auto"/>
          <w:sz w:val="32"/>
          <w:szCs w:val="32"/>
          <w:highlight w:val="none"/>
        </w:rPr>
      </w:pPr>
    </w:p>
    <w:p w14:paraId="7E5EDDF9">
      <w:pPr>
        <w:spacing w:line="400" w:lineRule="exact"/>
        <w:jc w:val="center"/>
        <w:rPr>
          <w:rFonts w:hint="eastAsia" w:ascii="宋体" w:hAnsi="宋体" w:cs="宋体"/>
          <w:b/>
          <w:color w:val="auto"/>
          <w:sz w:val="32"/>
          <w:szCs w:val="32"/>
          <w:highlight w:val="none"/>
        </w:rPr>
      </w:pPr>
    </w:p>
    <w:p w14:paraId="2618F868">
      <w:pPr>
        <w:spacing w:line="400" w:lineRule="exact"/>
        <w:jc w:val="center"/>
        <w:rPr>
          <w:rFonts w:hint="eastAsia" w:ascii="宋体" w:hAnsi="宋体" w:cs="宋体"/>
          <w:b/>
          <w:color w:val="auto"/>
          <w:sz w:val="32"/>
          <w:szCs w:val="32"/>
          <w:highlight w:val="none"/>
        </w:rPr>
      </w:pPr>
    </w:p>
    <w:p w14:paraId="5C7AA6FE">
      <w:pPr>
        <w:spacing w:line="400" w:lineRule="exact"/>
        <w:rPr>
          <w:rFonts w:hint="eastAsia" w:ascii="宋体" w:hAnsi="宋体" w:cs="宋体"/>
          <w:b/>
          <w:color w:val="auto"/>
          <w:sz w:val="32"/>
          <w:szCs w:val="32"/>
          <w:highlight w:val="none"/>
        </w:rPr>
      </w:pPr>
    </w:p>
    <w:p w14:paraId="4283490C">
      <w:pPr>
        <w:pStyle w:val="12"/>
        <w:rPr>
          <w:rFonts w:hint="eastAsia" w:ascii="宋体" w:hAnsi="宋体" w:cs="宋体"/>
          <w:color w:val="auto"/>
          <w:sz w:val="44"/>
          <w:szCs w:val="44"/>
          <w:highlight w:val="none"/>
        </w:rPr>
      </w:pPr>
      <w:bookmarkStart w:id="37" w:name="_Toc476258664"/>
      <w:bookmarkStart w:id="38" w:name="_Toc31699"/>
      <w:r>
        <w:rPr>
          <w:rFonts w:hint="eastAsia" w:ascii="宋体" w:hAnsi="宋体" w:cs="宋体"/>
          <w:color w:val="auto"/>
          <w:sz w:val="44"/>
          <w:szCs w:val="44"/>
          <w:highlight w:val="none"/>
        </w:rPr>
        <w:t>第三章  采购需求</w:t>
      </w:r>
      <w:bookmarkEnd w:id="37"/>
      <w:bookmarkEnd w:id="38"/>
    </w:p>
    <w:p w14:paraId="7EF5613D">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采购项目技术规格、参数及要求</w:t>
      </w:r>
    </w:p>
    <w:p w14:paraId="6E7CCC7C">
      <w:pPr>
        <w:tabs>
          <w:tab w:val="left" w:pos="180"/>
          <w:tab w:val="left" w:pos="1620"/>
        </w:tabs>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一、采购项目编号：</w:t>
      </w:r>
      <w:r>
        <w:rPr>
          <w:rFonts w:hint="eastAsia" w:ascii="宋体" w:hAnsi="宋体" w:cs="宋体"/>
          <w:color w:val="auto"/>
          <w:szCs w:val="21"/>
          <w:highlight w:val="none"/>
          <w:lang w:eastAsia="zh-CN"/>
        </w:rPr>
        <w:t>GXGJ2025-C0164-S</w:t>
      </w:r>
    </w:p>
    <w:p w14:paraId="6300ED8E">
      <w:pPr>
        <w:tabs>
          <w:tab w:val="left" w:pos="180"/>
          <w:tab w:val="left" w:pos="1620"/>
        </w:tabs>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服务类  </w:t>
      </w:r>
    </w:p>
    <w:p w14:paraId="03B6FF36">
      <w:pPr>
        <w:tabs>
          <w:tab w:val="left" w:pos="180"/>
          <w:tab w:val="left" w:pos="1620"/>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三、采购需求一览表</w:t>
      </w:r>
    </w:p>
    <w:p w14:paraId="6931DAFD">
      <w:pPr>
        <w:spacing w:line="440" w:lineRule="exact"/>
        <w:ind w:firstLine="437"/>
        <w:rPr>
          <w:rFonts w:hint="eastAsia" w:ascii="宋体" w:hAnsi="宋体" w:cs="宋体"/>
          <w:color w:val="auto"/>
          <w:szCs w:val="21"/>
          <w:highlight w:val="none"/>
        </w:rPr>
      </w:pPr>
      <w:r>
        <w:rPr>
          <w:rFonts w:hint="eastAsia" w:ascii="宋体" w:hAnsi="宋体" w:cs="宋体"/>
          <w:color w:val="auto"/>
          <w:szCs w:val="21"/>
          <w:highlight w:val="none"/>
        </w:rPr>
        <w:t>说明：</w:t>
      </w:r>
    </w:p>
    <w:p w14:paraId="11FCC843">
      <w:pPr>
        <w:spacing w:line="440" w:lineRule="exact"/>
        <w:ind w:firstLine="437"/>
        <w:rPr>
          <w:rFonts w:ascii="宋体" w:hAnsi="宋体" w:cs="宋体"/>
          <w:color w:val="auto"/>
          <w:szCs w:val="21"/>
          <w:highlight w:val="none"/>
        </w:rPr>
      </w:pPr>
      <w:r>
        <w:rPr>
          <w:rFonts w:hint="eastAsia" w:ascii="宋体" w:hAnsi="宋体" w:cs="宋体"/>
          <w:color w:val="auto"/>
          <w:szCs w:val="21"/>
          <w:highlight w:val="none"/>
        </w:rPr>
        <w:t>1、本项目需求表中打‘▲’及表述为“须”或“必须”的条款均为实质性要求或条件，供应商必须作出满足或者优于该要求和条件的承诺，否则响应文件无效。</w:t>
      </w:r>
    </w:p>
    <w:p w14:paraId="7234A8B9">
      <w:pPr>
        <w:spacing w:line="400" w:lineRule="exact"/>
        <w:ind w:firstLine="437"/>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本项目需求表中带有“▲”的条款发生负偏离的或者允许负偏离的条款数超过“供应商须知前附表”规定项数的或者标明实质性的要求发生负偏离</w:t>
      </w:r>
      <w:r>
        <w:rPr>
          <w:rFonts w:hint="eastAsia" w:ascii="宋体" w:hAnsi="宋体" w:cs="宋体"/>
          <w:b/>
          <w:bCs/>
          <w:color w:val="auto"/>
          <w:szCs w:val="21"/>
          <w:highlight w:val="none"/>
          <w:lang w:val="en-US" w:eastAsia="zh-CN"/>
        </w:rPr>
        <w:t>的，竞标无效。</w:t>
      </w:r>
    </w:p>
    <w:p w14:paraId="6BAE9F4B">
      <w:pPr>
        <w:spacing w:line="440" w:lineRule="exact"/>
        <w:ind w:firstLine="437"/>
        <w:rPr>
          <w:rFonts w:hint="eastAsia" w:ascii="宋体" w:hAnsi="宋体" w:cs="宋体"/>
          <w:color w:val="auto"/>
          <w:szCs w:val="21"/>
          <w:highlight w:val="none"/>
        </w:rPr>
      </w:pPr>
    </w:p>
    <w:tbl>
      <w:tblPr>
        <w:tblStyle w:val="1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92"/>
        <w:gridCol w:w="1017"/>
        <w:gridCol w:w="7169"/>
      </w:tblGrid>
      <w:tr w14:paraId="5823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77D491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092" w:type="dxa"/>
            <w:tcBorders>
              <w:top w:val="single" w:color="auto" w:sz="4" w:space="0"/>
              <w:left w:val="single" w:color="auto" w:sz="4" w:space="0"/>
              <w:bottom w:val="single" w:color="auto" w:sz="4" w:space="0"/>
              <w:right w:val="single" w:color="auto" w:sz="4" w:space="0"/>
            </w:tcBorders>
            <w:vAlign w:val="center"/>
          </w:tcPr>
          <w:p w14:paraId="414FC6C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升级模块名称</w:t>
            </w:r>
          </w:p>
        </w:tc>
        <w:tc>
          <w:tcPr>
            <w:tcW w:w="1017" w:type="dxa"/>
            <w:tcBorders>
              <w:top w:val="single" w:color="auto" w:sz="4" w:space="0"/>
              <w:left w:val="single" w:color="auto" w:sz="4" w:space="0"/>
              <w:bottom w:val="single" w:color="auto" w:sz="4" w:space="0"/>
              <w:right w:val="single" w:color="auto" w:sz="4" w:space="0"/>
            </w:tcBorders>
            <w:vAlign w:val="center"/>
          </w:tcPr>
          <w:p w14:paraId="76B07328">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数量</w:t>
            </w:r>
            <w:r>
              <w:rPr>
                <w:rFonts w:hint="eastAsia" w:ascii="宋体" w:hAnsi="宋体" w:eastAsia="宋体" w:cs="宋体"/>
                <w:b/>
                <w:color w:val="auto"/>
                <w:sz w:val="21"/>
                <w:szCs w:val="21"/>
                <w:highlight w:val="none"/>
                <w:lang w:val="en-US" w:eastAsia="zh-CN"/>
              </w:rPr>
              <w:t>/</w:t>
            </w:r>
          </w:p>
          <w:p w14:paraId="0AC7E47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7169" w:type="dxa"/>
            <w:tcBorders>
              <w:top w:val="single" w:color="auto" w:sz="4" w:space="0"/>
              <w:left w:val="single" w:color="auto" w:sz="4" w:space="0"/>
              <w:bottom w:val="single" w:color="auto" w:sz="4" w:space="0"/>
              <w:right w:val="single" w:color="auto" w:sz="4" w:space="0"/>
            </w:tcBorders>
            <w:vAlign w:val="center"/>
          </w:tcPr>
          <w:p w14:paraId="397462E2">
            <w:pPr>
              <w:jc w:val="center"/>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w:t>
            </w:r>
            <w:r>
              <w:rPr>
                <w:rFonts w:hint="eastAsia" w:ascii="宋体" w:hAnsi="宋体" w:eastAsia="宋体" w:cs="宋体"/>
                <w:b/>
                <w:color w:val="auto"/>
                <w:sz w:val="21"/>
                <w:szCs w:val="21"/>
                <w:highlight w:val="none"/>
              </w:rPr>
              <w:t>内容和要求</w:t>
            </w:r>
          </w:p>
        </w:tc>
      </w:tr>
      <w:tr w14:paraId="1668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6074A477">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EBCB5D4">
            <w:pPr>
              <w:jc w:val="center"/>
              <w:rPr>
                <w:rFonts w:hint="eastAsia" w:ascii="宋体" w:hAnsi="宋体" w:eastAsia="宋体" w:cs="宋体"/>
                <w:color w:val="auto"/>
                <w:sz w:val="21"/>
                <w:szCs w:val="21"/>
                <w:highlight w:val="none"/>
                <w:lang w:eastAsia="zh-CN"/>
              </w:rPr>
            </w:pPr>
            <w:r>
              <w:rPr>
                <w:rFonts w:hint="eastAsia"/>
                <w:color w:val="auto"/>
                <w:highlight w:val="none"/>
              </w:rPr>
              <w:t>系统管理模块</w:t>
            </w:r>
          </w:p>
        </w:tc>
        <w:tc>
          <w:tcPr>
            <w:tcW w:w="1017" w:type="dxa"/>
            <w:tcBorders>
              <w:top w:val="single" w:color="auto" w:sz="4" w:space="0"/>
              <w:left w:val="single" w:color="auto" w:sz="4" w:space="0"/>
              <w:bottom w:val="single" w:color="auto" w:sz="4" w:space="0"/>
              <w:right w:val="single" w:color="auto" w:sz="4" w:space="0"/>
            </w:tcBorders>
            <w:vAlign w:val="center"/>
          </w:tcPr>
          <w:p w14:paraId="68112953">
            <w:pPr>
              <w:jc w:val="center"/>
              <w:rPr>
                <w:rFonts w:hint="eastAsia" w:ascii="宋体" w:hAnsi="宋体" w:eastAsia="宋体" w:cs="宋体"/>
                <w:color w:val="auto"/>
                <w:sz w:val="21"/>
                <w:szCs w:val="21"/>
                <w:highlight w:val="none"/>
                <w:lang w:val="en-US" w:eastAsia="zh-CN"/>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51810B3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1、提供C/S、B/S多种系统管理工具，方便后台数据的管理。</w:t>
            </w:r>
          </w:p>
          <w:p w14:paraId="2CD4BE3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2、支持三员管理，系统管理员、安全管理员、安全审计员三员分责分权的方式进行系统安全管理。</w:t>
            </w:r>
          </w:p>
          <w:p w14:paraId="5E20C6C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3、支持用户多角色权限，一个用户多角色，不用角色不同权限。</w:t>
            </w:r>
          </w:p>
          <w:p w14:paraId="69CF291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4、支持各类业务参数的设置，如项目、业务、诊室、依赖、医生、套餐等。</w:t>
            </w:r>
          </w:p>
          <w:p w14:paraId="31C4F96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5、支持对数据库、服务器、缓存运行监控，可做数据备份和日志导出。</w:t>
            </w:r>
          </w:p>
        </w:tc>
      </w:tr>
      <w:tr w14:paraId="7FDA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C6F4F6D">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64E4B3F">
            <w:pPr>
              <w:jc w:val="center"/>
              <w:rPr>
                <w:rFonts w:hint="eastAsia"/>
                <w:color w:val="auto"/>
                <w:highlight w:val="none"/>
              </w:rPr>
            </w:pPr>
            <w:r>
              <w:rPr>
                <w:rFonts w:hint="eastAsia"/>
                <w:color w:val="auto"/>
                <w:highlight w:val="none"/>
              </w:rPr>
              <w:t>控制逻辑模块</w:t>
            </w:r>
          </w:p>
        </w:tc>
        <w:tc>
          <w:tcPr>
            <w:tcW w:w="1017" w:type="dxa"/>
            <w:tcBorders>
              <w:top w:val="single" w:color="auto" w:sz="4" w:space="0"/>
              <w:left w:val="single" w:color="auto" w:sz="4" w:space="0"/>
              <w:bottom w:val="single" w:color="auto" w:sz="4" w:space="0"/>
              <w:right w:val="single" w:color="auto" w:sz="4" w:space="0"/>
            </w:tcBorders>
            <w:vAlign w:val="center"/>
          </w:tcPr>
          <w:p w14:paraId="0BA2C934">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2E0B263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1、支持与第三方系统对接，提供导检台和人工方式登记，免费提供准接口，实现第三方自动登记。</w:t>
            </w:r>
          </w:p>
          <w:p w14:paraId="17E4DDF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2、体检用户登记成功后，首站检查科室提供屏幕、微信、指引单等多种提示方式。</w:t>
            </w:r>
          </w:p>
          <w:p w14:paraId="4422C89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3、支持同级别科室项目划分。</w:t>
            </w:r>
          </w:p>
          <w:p w14:paraId="73DB2A9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4、支持通过诊室屏、综合屏、医生呼叫器、护士导检台、自助机、微信等多终端信息指引，为体检用户推送体检科室。</w:t>
            </w:r>
          </w:p>
          <w:p w14:paraId="7617FDC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5、支持自定义客户类型和标识，不同类型客户配置不同插队模式的绿色通道。</w:t>
            </w:r>
          </w:p>
          <w:p w14:paraId="530CD5D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6、支持过号自动退位，自动冻结，解除迟到状态。</w:t>
            </w:r>
          </w:p>
          <w:p w14:paraId="1068BA4B">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7、支持依赖规则可视化配置。</w:t>
            </w:r>
          </w:p>
          <w:p w14:paraId="647EB5A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8、支持独立队列以及主队列等混合模式。</w:t>
            </w:r>
          </w:p>
          <w:p w14:paraId="6448838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9、支持二次分检规则，等候区体检人员按照规则自动分流到各个检查科室。</w:t>
            </w:r>
          </w:p>
          <w:p w14:paraId="2B84B6A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10、支持医生拒检无法检查项目。</w:t>
            </w:r>
          </w:p>
          <w:p w14:paraId="521B9F8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11、支持检查人数控制提醒。</w:t>
            </w:r>
          </w:p>
          <w:p w14:paraId="7893128B">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12、支持通过自助机，导检台、微信、带扫描的显示综合屏等多种途径进行复检。</w:t>
            </w:r>
          </w:p>
          <w:p w14:paraId="127F4E2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13、支持通过医生或诊室匹配业务。</w:t>
            </w:r>
          </w:p>
        </w:tc>
      </w:tr>
      <w:tr w14:paraId="6F3E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15DA5E20">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5FB5413">
            <w:pPr>
              <w:jc w:val="center"/>
              <w:rPr>
                <w:rFonts w:hint="eastAsia"/>
                <w:color w:val="auto"/>
                <w:highlight w:val="none"/>
              </w:rPr>
            </w:pPr>
            <w:r>
              <w:rPr>
                <w:rFonts w:hint="eastAsia"/>
                <w:color w:val="auto"/>
                <w:highlight w:val="none"/>
              </w:rPr>
              <w:t>护士导检台模块</w:t>
            </w:r>
          </w:p>
        </w:tc>
        <w:tc>
          <w:tcPr>
            <w:tcW w:w="1017" w:type="dxa"/>
            <w:tcBorders>
              <w:top w:val="single" w:color="auto" w:sz="4" w:space="0"/>
              <w:left w:val="single" w:color="auto" w:sz="4" w:space="0"/>
              <w:bottom w:val="single" w:color="auto" w:sz="4" w:space="0"/>
              <w:right w:val="single" w:color="auto" w:sz="4" w:space="0"/>
            </w:tcBorders>
            <w:vAlign w:val="center"/>
          </w:tcPr>
          <w:p w14:paraId="35DB4C6C">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0DC42E0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1、支持导检台配置备份。</w:t>
            </w:r>
          </w:p>
          <w:p w14:paraId="07CEA53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2、支持自定义队列显示方式和顺序。</w:t>
            </w:r>
          </w:p>
          <w:p w14:paraId="6D94E4F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3、支持自定义不同角色可以查看和控制科室范围、操作权限。</w:t>
            </w:r>
          </w:p>
          <w:p w14:paraId="177FB5D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4、支持科室禁止、锁定、正常三种状态的控制及查看。</w:t>
            </w:r>
          </w:p>
          <w:p w14:paraId="1DE7639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5、支持队列批量转移。</w:t>
            </w:r>
          </w:p>
          <w:p w14:paraId="348AE5F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6、支持客户快速定位。</w:t>
            </w:r>
          </w:p>
          <w:p w14:paraId="632D8862">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7、支持科室进度查看。</w:t>
            </w:r>
          </w:p>
          <w:p w14:paraId="149E082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8、支持提供录像播放功能（回放），可以定点、定时查看体检中心体检分流情况。</w:t>
            </w:r>
          </w:p>
          <w:p w14:paraId="4D5523A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9、支持餐厅就餐功能。</w:t>
            </w:r>
          </w:p>
        </w:tc>
      </w:tr>
      <w:tr w14:paraId="30AF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49D8DB7">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BD9D36C">
            <w:pPr>
              <w:jc w:val="center"/>
              <w:rPr>
                <w:rFonts w:hint="eastAsia"/>
                <w:color w:val="auto"/>
                <w:highlight w:val="none"/>
              </w:rPr>
            </w:pPr>
            <w:r>
              <w:rPr>
                <w:rFonts w:hint="eastAsia"/>
                <w:color w:val="auto"/>
                <w:highlight w:val="none"/>
              </w:rPr>
              <w:t>医生呼叫模块</w:t>
            </w:r>
          </w:p>
        </w:tc>
        <w:tc>
          <w:tcPr>
            <w:tcW w:w="1017" w:type="dxa"/>
            <w:tcBorders>
              <w:top w:val="single" w:color="auto" w:sz="4" w:space="0"/>
              <w:left w:val="single" w:color="auto" w:sz="4" w:space="0"/>
              <w:bottom w:val="single" w:color="auto" w:sz="4" w:space="0"/>
              <w:right w:val="single" w:color="auto" w:sz="4" w:space="0"/>
            </w:tcBorders>
            <w:vAlign w:val="center"/>
          </w:tcPr>
          <w:p w14:paraId="3D28018D">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403EAC3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1、支持呼叫，重呼，过号，完成等基本操作功能。</w:t>
            </w:r>
          </w:p>
          <w:p w14:paraId="4872F49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2、持多种呼叫模式，包括顺序依次呼叫、完成当前呼叫同时呼叫下一位、重呼、重置状态依次呼叫、选择性呼叫。</w:t>
            </w:r>
          </w:p>
          <w:p w14:paraId="021AD8D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3、支持不呼叫含特定项目的体检者。</w:t>
            </w:r>
          </w:p>
          <w:p w14:paraId="2D7E0BA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4、支持自动呼叫，可自定义呼叫间隔时间。</w:t>
            </w:r>
          </w:p>
          <w:p w14:paraId="7166533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5、支持正常、暂停和停止三种状态的切换。</w:t>
            </w:r>
          </w:p>
          <w:p w14:paraId="41637076">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6、支持呼叫列表显示客户类型和客户状态。</w:t>
            </w:r>
          </w:p>
          <w:p w14:paraId="2C94821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7、支持实时查看当前诊室已检人数，总检，在检人数。</w:t>
            </w:r>
          </w:p>
          <w:p w14:paraId="5EBCE62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8、支持呼叫界面自由拉伸缩小，拖拽，靠边自动隐藏、最小化等操作。</w:t>
            </w:r>
          </w:p>
          <w:p w14:paraId="767F962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9、支持切换普通模式和迷你模式显示。</w:t>
            </w:r>
          </w:p>
          <w:p w14:paraId="31F5241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10、支持扫码完成。</w:t>
            </w:r>
          </w:p>
          <w:p w14:paraId="1913B04A">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11、支持广播找人。</w:t>
            </w:r>
          </w:p>
        </w:tc>
      </w:tr>
      <w:tr w14:paraId="40DB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6474D29">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1C29F5CF">
            <w:pPr>
              <w:jc w:val="center"/>
              <w:rPr>
                <w:rFonts w:hint="eastAsia"/>
                <w:color w:val="auto"/>
                <w:highlight w:val="none"/>
              </w:rPr>
            </w:pPr>
            <w:r>
              <w:rPr>
                <w:rFonts w:hint="eastAsia"/>
                <w:color w:val="auto"/>
                <w:highlight w:val="none"/>
              </w:rPr>
              <w:t>微信导检模块</w:t>
            </w:r>
          </w:p>
        </w:tc>
        <w:tc>
          <w:tcPr>
            <w:tcW w:w="1017" w:type="dxa"/>
            <w:tcBorders>
              <w:top w:val="single" w:color="auto" w:sz="4" w:space="0"/>
              <w:left w:val="single" w:color="auto" w:sz="4" w:space="0"/>
              <w:bottom w:val="single" w:color="auto" w:sz="4" w:space="0"/>
              <w:right w:val="single" w:color="auto" w:sz="4" w:space="0"/>
            </w:tcBorders>
            <w:vAlign w:val="center"/>
          </w:tcPr>
          <w:p w14:paraId="1C0EDBED">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155B5FA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1、支持微信导检实时全程指引，显示体检者当前检查科室，排队位置，未检项目，检查路径。</w:t>
            </w:r>
          </w:p>
          <w:p w14:paraId="2BEF5DA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2、支持通过体检号、身份证或手机号方式绑定进行微信导检。</w:t>
            </w:r>
          </w:p>
          <w:p w14:paraId="7FDC32E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3、支持实时推送当前检查科室信息及排队位置。</w:t>
            </w:r>
          </w:p>
          <w:p w14:paraId="27F0F3C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4、支持进入导检界面以文字视频方式弹窗提示体检须知。</w:t>
            </w:r>
          </w:p>
          <w:p w14:paraId="1C28691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5、支持对当次检查项目及体检整体分别进行星级打分及评价。</w:t>
            </w:r>
          </w:p>
          <w:p w14:paraId="7911785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6、支持匿名请假。</w:t>
            </w:r>
          </w:p>
          <w:p w14:paraId="4758CB12">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7、支持医院及科室评价数据查看、回复及导出。</w:t>
            </w:r>
          </w:p>
          <w:p w14:paraId="0705321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8、支持控评。</w:t>
            </w:r>
          </w:p>
          <w:p w14:paraId="42AF03A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9、支持未评价客户默认好评。</w:t>
            </w:r>
          </w:p>
          <w:p w14:paraId="2578009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10、支持查看医院及科室评价星级汇总。</w:t>
            </w:r>
          </w:p>
          <w:p w14:paraId="3450B9F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11、支持微信端非退费项目弃检。</w:t>
            </w:r>
          </w:p>
          <w:p w14:paraId="193AC72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12、支持微信端根据体检者意愿，自行从全流程科室切换到独立队列科室。</w:t>
            </w:r>
          </w:p>
          <w:p w14:paraId="3FBE3767">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13、支持切换老年模式，包括放大字体显示信息及语音播报。</w:t>
            </w:r>
          </w:p>
          <w:p w14:paraId="6975ABE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14、支持中英文切换。</w:t>
            </w:r>
          </w:p>
        </w:tc>
      </w:tr>
      <w:tr w14:paraId="0AD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4CEF0E8">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6DE0BF8">
            <w:pPr>
              <w:jc w:val="center"/>
              <w:rPr>
                <w:rFonts w:hint="eastAsia"/>
                <w:color w:val="auto"/>
                <w:highlight w:val="none"/>
              </w:rPr>
            </w:pPr>
            <w:r>
              <w:rPr>
                <w:rFonts w:hint="eastAsia"/>
                <w:color w:val="auto"/>
                <w:highlight w:val="none"/>
              </w:rPr>
              <w:t>数据统计模块</w:t>
            </w:r>
          </w:p>
        </w:tc>
        <w:tc>
          <w:tcPr>
            <w:tcW w:w="1017" w:type="dxa"/>
            <w:tcBorders>
              <w:top w:val="single" w:color="auto" w:sz="4" w:space="0"/>
              <w:left w:val="single" w:color="auto" w:sz="4" w:space="0"/>
              <w:bottom w:val="single" w:color="auto" w:sz="4" w:space="0"/>
              <w:right w:val="single" w:color="auto" w:sz="4" w:space="0"/>
            </w:tcBorders>
            <w:vAlign w:val="center"/>
          </w:tcPr>
          <w:p w14:paraId="541D94EF">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64E96AB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1、支持实时统计业务数据。</w:t>
            </w:r>
          </w:p>
          <w:p w14:paraId="6441962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2、支持分时段统计登记人数。</w:t>
            </w:r>
          </w:p>
          <w:p w14:paraId="31F172D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3、支持分时长统计体检人员检查整体耗时。</w:t>
            </w:r>
          </w:p>
          <w:p w14:paraId="2F86390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4、支持批量导出体检者轨迹。</w:t>
            </w:r>
          </w:p>
          <w:p w14:paraId="01BD5F8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5、支持统计每日检查人数，首位末位登记和检完时间，最长最短及平均检查时长。</w:t>
            </w:r>
          </w:p>
          <w:p w14:paraId="795F186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6、支持统计体检者队列进入时间、呼叫完成时间的排队耗时和检查耗时。</w:t>
            </w:r>
          </w:p>
          <w:p w14:paraId="2B5A348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7、支持从诊室、医生、队列多个维度进行当天或历史工作量以及项目数量统计。</w:t>
            </w:r>
          </w:p>
          <w:p w14:paraId="5D82837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8、支持查询所有用户的当天或历史登录记录。</w:t>
            </w:r>
          </w:p>
          <w:p w14:paraId="2963910A">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9、支持统计报表查询，结果排序，明细查看及数据导出。</w:t>
            </w:r>
          </w:p>
          <w:p w14:paraId="5787FBF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10、支持通过大数据可视化平台，展示体检现场实时数据，为医院管理者提供实时可视化的导检现场监控平台。</w:t>
            </w:r>
          </w:p>
        </w:tc>
      </w:tr>
      <w:tr w14:paraId="162B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CCE25AB">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747E53BD">
            <w:pPr>
              <w:jc w:val="center"/>
              <w:rPr>
                <w:rFonts w:hint="eastAsia"/>
                <w:color w:val="auto"/>
                <w:highlight w:val="none"/>
              </w:rPr>
            </w:pPr>
            <w:r>
              <w:rPr>
                <w:rFonts w:hint="eastAsia"/>
                <w:color w:val="auto"/>
                <w:highlight w:val="none"/>
              </w:rPr>
              <w:t>导检叫号屏</w:t>
            </w:r>
          </w:p>
        </w:tc>
        <w:tc>
          <w:tcPr>
            <w:tcW w:w="1017" w:type="dxa"/>
            <w:tcBorders>
              <w:top w:val="single" w:color="auto" w:sz="4" w:space="0"/>
              <w:left w:val="single" w:color="auto" w:sz="4" w:space="0"/>
              <w:bottom w:val="single" w:color="auto" w:sz="4" w:space="0"/>
              <w:right w:val="single" w:color="auto" w:sz="4" w:space="0"/>
            </w:tcBorders>
            <w:vAlign w:val="center"/>
          </w:tcPr>
          <w:p w14:paraId="7A06A88C">
            <w:pPr>
              <w:jc w:val="center"/>
              <w:rPr>
                <w:rFonts w:hint="eastAsia"/>
                <w:color w:val="auto"/>
                <w:highlight w:val="none"/>
              </w:rPr>
            </w:pPr>
            <w:r>
              <w:rPr>
                <w:rFonts w:hint="eastAsia"/>
                <w:color w:val="auto"/>
                <w:highlight w:val="none"/>
              </w:rPr>
              <w:t>12台</w:t>
            </w:r>
          </w:p>
        </w:tc>
        <w:tc>
          <w:tcPr>
            <w:tcW w:w="7169" w:type="dxa"/>
            <w:tcBorders>
              <w:top w:val="single" w:color="auto" w:sz="4" w:space="0"/>
              <w:left w:val="single" w:color="auto" w:sz="4" w:space="0"/>
              <w:right w:val="single" w:color="auto" w:sz="4" w:space="0"/>
            </w:tcBorders>
            <w:vAlign w:val="top"/>
          </w:tcPr>
          <w:p w14:paraId="29555ABC">
            <w:pPr>
              <w:rPr>
                <w:rFonts w:hint="eastAsia"/>
                <w:color w:val="auto"/>
                <w:highlight w:val="none"/>
              </w:rPr>
            </w:pPr>
            <w:r>
              <w:rPr>
                <w:rFonts w:hint="eastAsia"/>
                <w:color w:val="auto"/>
                <w:highlight w:val="none"/>
                <w:lang w:val="en-US" w:eastAsia="zh-CN"/>
              </w:rPr>
              <w:t>1、</w:t>
            </w:r>
            <w:r>
              <w:rPr>
                <w:rFonts w:hint="eastAsia"/>
                <w:color w:val="auto"/>
                <w:highlight w:val="none"/>
              </w:rPr>
              <w:t>CPU：四核及以上，主频1.2以上</w:t>
            </w:r>
          </w:p>
          <w:p w14:paraId="5A0DCF2C">
            <w:pPr>
              <w:rPr>
                <w:rFonts w:hint="eastAsia"/>
                <w:color w:val="auto"/>
                <w:highlight w:val="none"/>
              </w:rPr>
            </w:pPr>
            <w:r>
              <w:rPr>
                <w:rFonts w:hint="eastAsia"/>
                <w:color w:val="auto"/>
                <w:highlight w:val="none"/>
                <w:lang w:val="en-US" w:eastAsia="zh-CN"/>
              </w:rPr>
              <w:t>2、</w:t>
            </w:r>
            <w:r>
              <w:rPr>
                <w:rFonts w:hint="eastAsia"/>
                <w:color w:val="auto"/>
                <w:highlight w:val="none"/>
              </w:rPr>
              <w:t>内存：1G或以上</w:t>
            </w:r>
          </w:p>
          <w:p w14:paraId="2BD0EA25">
            <w:pPr>
              <w:rPr>
                <w:rFonts w:hint="eastAsia"/>
                <w:color w:val="auto"/>
                <w:highlight w:val="none"/>
              </w:rPr>
            </w:pPr>
            <w:r>
              <w:rPr>
                <w:rFonts w:hint="eastAsia"/>
                <w:color w:val="auto"/>
                <w:highlight w:val="none"/>
                <w:lang w:val="en-US" w:eastAsia="zh-CN"/>
              </w:rPr>
              <w:t>3、</w:t>
            </w:r>
            <w:r>
              <w:rPr>
                <w:rFonts w:hint="eastAsia"/>
                <w:color w:val="auto"/>
                <w:highlight w:val="none"/>
              </w:rPr>
              <w:t>网卡：百兆</w:t>
            </w:r>
          </w:p>
          <w:p w14:paraId="3253059E">
            <w:pPr>
              <w:rPr>
                <w:rFonts w:hint="eastAsia"/>
                <w:color w:val="auto"/>
                <w:highlight w:val="none"/>
              </w:rPr>
            </w:pPr>
            <w:r>
              <w:rPr>
                <w:rFonts w:hint="eastAsia"/>
                <w:color w:val="auto"/>
                <w:highlight w:val="none"/>
                <w:lang w:val="en-US" w:eastAsia="zh-CN"/>
              </w:rPr>
              <w:t>4、</w:t>
            </w:r>
            <w:r>
              <w:rPr>
                <w:rFonts w:hint="eastAsia"/>
                <w:color w:val="auto"/>
                <w:highlight w:val="none"/>
              </w:rPr>
              <w:t>存储：16G或以上</w:t>
            </w:r>
          </w:p>
          <w:p w14:paraId="61CF1075">
            <w:pPr>
              <w:rPr>
                <w:rFonts w:hint="eastAsia"/>
                <w:color w:val="auto"/>
                <w:highlight w:val="none"/>
              </w:rPr>
            </w:pPr>
            <w:r>
              <w:rPr>
                <w:rFonts w:hint="eastAsia"/>
                <w:color w:val="auto"/>
                <w:highlight w:val="none"/>
                <w:lang w:val="en-US" w:eastAsia="zh-CN"/>
              </w:rPr>
              <w:t>5、</w:t>
            </w:r>
            <w:r>
              <w:rPr>
                <w:rFonts w:hint="eastAsia"/>
                <w:color w:val="auto"/>
                <w:highlight w:val="none"/>
              </w:rPr>
              <w:t>操作系统：Android 7.0.0及以上。</w:t>
            </w:r>
          </w:p>
          <w:p w14:paraId="1312421B">
            <w:pPr>
              <w:rPr>
                <w:rFonts w:hint="eastAsia"/>
                <w:color w:val="auto"/>
                <w:highlight w:val="none"/>
              </w:rPr>
            </w:pPr>
            <w:r>
              <w:rPr>
                <w:rFonts w:hint="eastAsia"/>
                <w:color w:val="auto"/>
                <w:highlight w:val="none"/>
                <w:lang w:val="en-US" w:eastAsia="zh-CN"/>
              </w:rPr>
              <w:t>6、</w:t>
            </w:r>
            <w:r>
              <w:rPr>
                <w:rFonts w:hint="eastAsia"/>
                <w:color w:val="auto"/>
                <w:highlight w:val="none"/>
              </w:rPr>
              <w:t>屏幕尺寸：21.5寸或以上</w:t>
            </w:r>
          </w:p>
          <w:p w14:paraId="71120D90">
            <w:pPr>
              <w:rPr>
                <w:rFonts w:hint="eastAsia"/>
                <w:color w:val="auto"/>
                <w:highlight w:val="none"/>
              </w:rPr>
            </w:pPr>
            <w:r>
              <w:rPr>
                <w:rFonts w:hint="eastAsia"/>
                <w:color w:val="auto"/>
                <w:highlight w:val="none"/>
                <w:lang w:val="en-US" w:eastAsia="zh-CN"/>
              </w:rPr>
              <w:t>7、</w:t>
            </w:r>
            <w:r>
              <w:rPr>
                <w:rFonts w:hint="eastAsia"/>
                <w:color w:val="auto"/>
                <w:highlight w:val="none"/>
              </w:rPr>
              <w:t>最大分辨率：1920×1080或以上</w:t>
            </w:r>
          </w:p>
          <w:p w14:paraId="348BCE63">
            <w:pPr>
              <w:rPr>
                <w:rFonts w:hint="eastAsia"/>
                <w:color w:val="auto"/>
                <w:highlight w:val="none"/>
              </w:rPr>
            </w:pPr>
            <w:r>
              <w:rPr>
                <w:rFonts w:hint="eastAsia"/>
                <w:color w:val="auto"/>
                <w:highlight w:val="none"/>
                <w:lang w:val="en-US" w:eastAsia="zh-CN"/>
              </w:rPr>
              <w:t>8、</w:t>
            </w:r>
            <w:r>
              <w:rPr>
                <w:rFonts w:hint="eastAsia"/>
                <w:color w:val="auto"/>
                <w:highlight w:val="none"/>
              </w:rPr>
              <w:t>响应时间：&lt;5ms</w:t>
            </w:r>
          </w:p>
          <w:p w14:paraId="7CE394B8">
            <w:pPr>
              <w:rPr>
                <w:rFonts w:hint="eastAsia"/>
                <w:color w:val="auto"/>
                <w:highlight w:val="none"/>
              </w:rPr>
            </w:pPr>
            <w:r>
              <w:rPr>
                <w:rFonts w:hint="eastAsia"/>
                <w:color w:val="auto"/>
                <w:highlight w:val="none"/>
                <w:lang w:val="en-US" w:eastAsia="zh-CN"/>
              </w:rPr>
              <w:t>9、</w:t>
            </w:r>
            <w:r>
              <w:rPr>
                <w:rFonts w:hint="eastAsia"/>
                <w:color w:val="auto"/>
                <w:highlight w:val="none"/>
              </w:rPr>
              <w:t>接口2xUSB2.0, 1xTF, 1xHDMI, 1xLAN</w:t>
            </w:r>
          </w:p>
          <w:p w14:paraId="0FFF30E3">
            <w:pPr>
              <w:rPr>
                <w:rFonts w:hint="eastAsia"/>
                <w:color w:val="auto"/>
                <w:highlight w:val="none"/>
              </w:rPr>
            </w:pPr>
            <w:r>
              <w:rPr>
                <w:rFonts w:hint="eastAsia"/>
                <w:color w:val="auto"/>
                <w:highlight w:val="none"/>
                <w:lang w:val="en-US" w:eastAsia="zh-CN"/>
              </w:rPr>
              <w:t>10、</w:t>
            </w:r>
            <w:r>
              <w:rPr>
                <w:rFonts w:hint="eastAsia"/>
                <w:color w:val="auto"/>
                <w:highlight w:val="none"/>
              </w:rPr>
              <w:t>功耗：≤48W；待机功耗：≤1W</w:t>
            </w:r>
          </w:p>
          <w:p w14:paraId="3CA8AD22">
            <w:pPr>
              <w:rPr>
                <w:rFonts w:hint="eastAsia"/>
                <w:color w:val="auto"/>
                <w:highlight w:val="none"/>
              </w:rPr>
            </w:pPr>
            <w:r>
              <w:rPr>
                <w:rFonts w:hint="eastAsia"/>
                <w:color w:val="auto"/>
                <w:highlight w:val="none"/>
                <w:lang w:val="en-US" w:eastAsia="zh-CN"/>
              </w:rPr>
              <w:t>11、</w:t>
            </w:r>
            <w:r>
              <w:rPr>
                <w:rFonts w:hint="eastAsia"/>
                <w:color w:val="auto"/>
                <w:highlight w:val="none"/>
              </w:rPr>
              <w:t>音响：8欧3W+8欧3W</w:t>
            </w:r>
          </w:p>
          <w:p w14:paraId="7F28AB97">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w:t>
            </w:r>
            <w:r>
              <w:rPr>
                <w:rFonts w:hint="eastAsia"/>
                <w:color w:val="auto"/>
                <w:highlight w:val="none"/>
              </w:rPr>
              <w:t>联网方式：有线</w:t>
            </w:r>
          </w:p>
        </w:tc>
      </w:tr>
      <w:tr w14:paraId="1079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5D84250">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w:t>
            </w:r>
          </w:p>
        </w:tc>
        <w:tc>
          <w:tcPr>
            <w:tcW w:w="9278" w:type="dxa"/>
            <w:gridSpan w:val="3"/>
            <w:tcBorders>
              <w:top w:val="single" w:color="auto" w:sz="4" w:space="0"/>
              <w:left w:val="single" w:color="auto" w:sz="4" w:space="0"/>
              <w:bottom w:val="single" w:color="auto" w:sz="4" w:space="0"/>
              <w:right w:val="single" w:color="auto" w:sz="4" w:space="0"/>
            </w:tcBorders>
            <w:vAlign w:val="center"/>
          </w:tcPr>
          <w:p w14:paraId="3C3411A6">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color w:val="auto"/>
                <w:szCs w:val="21"/>
                <w:highlight w:val="none"/>
              </w:rPr>
              <w:t>合同签订时间</w:t>
            </w:r>
            <w:r>
              <w:rPr>
                <w:rFonts w:hint="eastAsia"/>
                <w:color w:val="auto"/>
                <w:szCs w:val="21"/>
                <w:highlight w:val="none"/>
                <w:lang w:eastAsia="zh-CN"/>
              </w:rPr>
              <w:t>：</w:t>
            </w:r>
            <w:r>
              <w:rPr>
                <w:rFonts w:hint="eastAsia"/>
                <w:color w:val="auto"/>
                <w:szCs w:val="21"/>
                <w:highlight w:val="none"/>
              </w:rPr>
              <w:t>自</w:t>
            </w:r>
            <w:r>
              <w:rPr>
                <w:rFonts w:hint="eastAsia"/>
                <w:color w:val="auto"/>
                <w:szCs w:val="21"/>
                <w:highlight w:val="none"/>
                <w:lang w:val="en-US" w:eastAsia="zh-CN"/>
              </w:rPr>
              <w:t>成交</w:t>
            </w:r>
            <w:r>
              <w:rPr>
                <w:rFonts w:hint="eastAsia"/>
                <w:color w:val="auto"/>
                <w:szCs w:val="21"/>
                <w:highlight w:val="none"/>
              </w:rPr>
              <w:t>通知书发出之日起</w:t>
            </w:r>
            <w:r>
              <w:rPr>
                <w:color w:val="auto"/>
                <w:szCs w:val="21"/>
                <w:highlight w:val="none"/>
              </w:rPr>
              <w:t>25</w:t>
            </w:r>
            <w:r>
              <w:rPr>
                <w:rFonts w:hint="eastAsia"/>
                <w:color w:val="auto"/>
                <w:szCs w:val="21"/>
                <w:highlight w:val="none"/>
              </w:rPr>
              <w:t>日内。</w:t>
            </w:r>
          </w:p>
          <w:p w14:paraId="62DF285B">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二、交付使用时间及交付地点：</w:t>
            </w:r>
          </w:p>
          <w:p w14:paraId="68F108E6">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1.交付使用时间：合同签订后1个月内完成。</w:t>
            </w:r>
          </w:p>
          <w:p w14:paraId="1591BE89">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2.交付地点：广西百色市（采购人指定地点）。</w:t>
            </w:r>
          </w:p>
          <w:p w14:paraId="58E8709F">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三、售后服务及其他要求：</w:t>
            </w:r>
          </w:p>
          <w:p w14:paraId="753A0F3B">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1.竞标产品必须是符合国家技术规范和质量标准的合格产品，满足采购人的使用需求，并具有可靠的售后服务体系，质量可靠、使用安全。</w:t>
            </w:r>
          </w:p>
          <w:p w14:paraId="48C6C705">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2.竞标产品交付后，需提供详细的培训计划，对使用人员做好产品使用和日常维护培训。</w:t>
            </w:r>
          </w:p>
          <w:p w14:paraId="4852D1DF">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3.在原有系统基础上进行升级，保证和现有系统进行无缝连接。</w:t>
            </w:r>
          </w:p>
          <w:p w14:paraId="547653A5">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4.质保期内，提供7*24小时技术咨询服务，接到现场服务要求后，应于两个小时内进行响应。</w:t>
            </w:r>
          </w:p>
          <w:p w14:paraId="1799BB9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5.自验收之日起，需提供至少一年免费维保服务，质保期内，提供至少两次系统巡检服务。</w:t>
            </w:r>
          </w:p>
          <w:p w14:paraId="509DC758">
            <w:pPr>
              <w:widowControl w:val="0"/>
              <w:numPr>
                <w:ilvl w:val="0"/>
                <w:numId w:val="0"/>
              </w:numPr>
              <w:tabs>
                <w:tab w:val="left" w:pos="180"/>
                <w:tab w:val="left" w:pos="1620"/>
              </w:tabs>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Times New Roman" w:eastAsia="宋体"/>
                <w:color w:val="auto"/>
                <w:sz w:val="21"/>
                <w:szCs w:val="24"/>
                <w:highlight w:val="none"/>
              </w:rPr>
              <w:t>报价要求</w:t>
            </w:r>
            <w:r>
              <w:rPr>
                <w:rFonts w:hint="eastAsia" w:ascii="宋体" w:hAnsi="Times New Roman" w:eastAsia="宋体"/>
                <w:color w:val="auto"/>
                <w:sz w:val="21"/>
                <w:szCs w:val="24"/>
                <w:highlight w:val="none"/>
                <w:lang w:eastAsia="zh-CN"/>
              </w:rPr>
              <w:t>：</w:t>
            </w:r>
          </w:p>
          <w:p w14:paraId="32EDE588">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竞标人的竞标报价应为人民币含税价。本项目报价为总价包干，投标报价必须包括实施和完成该项目所需的服务、服务人员费用（含工资、社保费、劳保、意外伤害保险、福利等）、运输、管理费、利润、税费等完成合同所需的一切本身和不可或缺的所有开支、政策性文件规定的合同包含的所有风险、责任等各项全部费用的总和。</w:t>
            </w:r>
          </w:p>
          <w:p w14:paraId="563EE4B0">
            <w:pPr>
              <w:widowControl w:val="0"/>
              <w:numPr>
                <w:ilvl w:val="0"/>
                <w:numId w:val="3"/>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付款条件：</w:t>
            </w:r>
          </w:p>
          <w:p w14:paraId="7D9F9BA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1、本项目无预付款，从</w:t>
            </w:r>
            <w:r>
              <w:rPr>
                <w:rFonts w:hint="eastAsia"/>
                <w:color w:val="auto"/>
                <w:highlight w:val="none"/>
                <w:lang w:eastAsia="zh-CN"/>
              </w:rPr>
              <w:t>服务之日到</w:t>
            </w:r>
            <w:r>
              <w:rPr>
                <w:rFonts w:hint="eastAsia" w:ascii="宋体" w:hAnsi="宋体" w:cs="宋体"/>
                <w:color w:val="auto"/>
                <w:sz w:val="21"/>
                <w:szCs w:val="21"/>
                <w:highlight w:val="none"/>
                <w:lang w:val="en-US" w:eastAsia="zh-CN"/>
              </w:rPr>
              <w:t>结束，成交供应商不能提出增加任何费用。</w:t>
            </w:r>
          </w:p>
          <w:p w14:paraId="59D23848">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2、成交人供应商入场完成工作量达到合同工作量的60%时，采购人支付合同总额30%；项目正常使用满1个月20日时，采购人支付合同总额50%，项目竣工验收合格并正常使用满6个月，采购人支付合同余款。</w:t>
            </w:r>
          </w:p>
          <w:p w14:paraId="14D6CE4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3、每节点付款前，成交人必须按对应金额开具等额合法发票。</w:t>
            </w:r>
          </w:p>
          <w:p w14:paraId="31DB2E5C">
            <w:pPr>
              <w:pStyle w:val="2"/>
              <w:rPr>
                <w:rFonts w:hint="eastAsia"/>
                <w:color w:val="auto"/>
                <w:highlight w:val="none"/>
                <w:lang w:val="en-US" w:eastAsia="zh-CN"/>
              </w:rPr>
            </w:pPr>
          </w:p>
        </w:tc>
      </w:tr>
      <w:tr w14:paraId="6B1D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8F6E0DF">
            <w:pPr>
              <w:spacing w:line="4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其他说明</w:t>
            </w:r>
          </w:p>
        </w:tc>
        <w:tc>
          <w:tcPr>
            <w:tcW w:w="9278" w:type="dxa"/>
            <w:gridSpan w:val="3"/>
            <w:tcBorders>
              <w:top w:val="single" w:color="auto" w:sz="4" w:space="0"/>
              <w:left w:val="single" w:color="auto" w:sz="4" w:space="0"/>
              <w:bottom w:val="single" w:color="auto" w:sz="4" w:space="0"/>
              <w:right w:val="single" w:color="auto" w:sz="4" w:space="0"/>
            </w:tcBorders>
            <w:vAlign w:val="center"/>
          </w:tcPr>
          <w:p w14:paraId="0EE6D041">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供应商在</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活动中提供任何虚假材料，其</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后发现的，</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人须按照《中华人民共和国消费者权益保护法》</w:t>
            </w:r>
            <w:r>
              <w:rPr>
                <w:rFonts w:hint="eastAsia" w:ascii="宋体" w:hAnsi="宋体" w:eastAsia="宋体" w:cs="宋体"/>
                <w:b w:val="0"/>
                <w:bCs w:val="0"/>
                <w:color w:val="auto"/>
                <w:sz w:val="21"/>
                <w:szCs w:val="21"/>
                <w:highlight w:val="none"/>
                <w:lang w:val="en-US" w:eastAsia="zh-CN"/>
              </w:rPr>
              <w:t>的相关</w:t>
            </w:r>
            <w:r>
              <w:rPr>
                <w:rFonts w:hint="eastAsia" w:ascii="宋体" w:hAnsi="宋体" w:eastAsia="宋体" w:cs="宋体"/>
                <w:b w:val="0"/>
                <w:bCs w:val="0"/>
                <w:color w:val="auto"/>
                <w:sz w:val="21"/>
                <w:szCs w:val="21"/>
                <w:highlight w:val="none"/>
              </w:rPr>
              <w:t>规定双倍赔偿采购人，且民事赔偿并不免除违法</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的行政与刑事责任。</w:t>
            </w:r>
          </w:p>
          <w:p w14:paraId="0E550836">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核心产品</w:t>
            </w:r>
          </w:p>
          <w:p w14:paraId="2544EB1D">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本项目为服务类项目，无核心产品。</w:t>
            </w:r>
          </w:p>
          <w:p w14:paraId="3654CDD0">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其他</w:t>
            </w:r>
          </w:p>
          <w:p w14:paraId="188E3721">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是否进行演示：</w:t>
            </w:r>
            <w:r>
              <w:rPr>
                <w:rFonts w:hint="eastAsia" w:ascii="宋体" w:hAnsi="宋体" w:cs="宋体"/>
                <w:b w:val="0"/>
                <w:bCs w:val="0"/>
                <w:color w:val="auto"/>
                <w:sz w:val="21"/>
                <w:szCs w:val="21"/>
                <w:highlight w:val="none"/>
                <w:lang w:val="en-US" w:eastAsia="zh-CN"/>
              </w:rPr>
              <w:t>否。</w:t>
            </w:r>
          </w:p>
          <w:p w14:paraId="6AADAC4A">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是否要求提供样品：否</w:t>
            </w:r>
          </w:p>
          <w:p w14:paraId="11FAD0DE">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是否现场踏勘：否</w:t>
            </w:r>
          </w:p>
          <w:p w14:paraId="7935D515">
            <w:pPr>
              <w:spacing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sz w:val="21"/>
                <w:szCs w:val="21"/>
                <w:highlight w:val="none"/>
              </w:rPr>
              <w:t>如有请提供与采购内容相关的技术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Times New Roman" w:hAnsi="Times New Roman" w:eastAsia="宋体" w:cs="Times New Roman"/>
                <w:bCs/>
                <w:color w:val="auto"/>
                <w:kern w:val="2"/>
                <w:sz w:val="21"/>
                <w:szCs w:val="21"/>
                <w:highlight w:val="none"/>
                <w:lang w:val="en-US" w:eastAsia="zh-CN" w:bidi="ar-SA"/>
              </w:rPr>
              <w:t>实施方案</w:t>
            </w:r>
            <w:r>
              <w:rPr>
                <w:rFonts w:hint="eastAsia" w:cs="Times New Roman"/>
                <w:bCs/>
                <w:color w:val="auto"/>
                <w:kern w:val="2"/>
                <w:sz w:val="21"/>
                <w:szCs w:val="21"/>
                <w:highlight w:val="none"/>
                <w:lang w:val="en-US" w:eastAsia="zh-CN" w:bidi="ar-SA"/>
              </w:rPr>
              <w:t>、售后</w:t>
            </w:r>
            <w:r>
              <w:rPr>
                <w:rFonts w:hint="eastAsia" w:ascii="宋体" w:hAnsi="宋体" w:eastAsia="宋体" w:cs="宋体"/>
                <w:color w:val="auto"/>
                <w:sz w:val="21"/>
                <w:szCs w:val="21"/>
                <w:highlight w:val="none"/>
              </w:rPr>
              <w:t>服务承诺、信誉、业绩等相关资料。</w:t>
            </w:r>
          </w:p>
        </w:tc>
      </w:tr>
      <w:tr w14:paraId="35C4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1734720C">
            <w:pPr>
              <w:tabs>
                <w:tab w:val="left" w:pos="180"/>
                <w:tab w:val="left" w:pos="1620"/>
              </w:tabs>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3A2F86C1">
            <w:pPr>
              <w:tabs>
                <w:tab w:val="left" w:pos="180"/>
                <w:tab w:val="left" w:pos="1620"/>
              </w:tabs>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未标识‘▲’及未表述为“须”或“必须”的采购项目技术规格、参数及要求。</w:t>
            </w:r>
          </w:p>
        </w:tc>
      </w:tr>
    </w:tbl>
    <w:p w14:paraId="40540E94">
      <w:pPr>
        <w:bidi w:val="0"/>
        <w:rPr>
          <w:rFonts w:hint="eastAsia"/>
          <w:color w:val="auto"/>
          <w:highlight w:val="none"/>
        </w:rPr>
      </w:pPr>
      <w:r>
        <w:rPr>
          <w:rFonts w:hint="eastAsia"/>
          <w:color w:val="auto"/>
          <w:highlight w:val="none"/>
        </w:rPr>
        <w:br w:type="page"/>
      </w:r>
    </w:p>
    <w:p w14:paraId="30A208F8">
      <w:pPr>
        <w:spacing w:line="400" w:lineRule="exact"/>
        <w:jc w:val="center"/>
        <w:rPr>
          <w:rFonts w:hint="eastAsia" w:ascii="宋体" w:hAnsi="宋体" w:cs="宋体"/>
          <w:b/>
          <w:color w:val="auto"/>
          <w:sz w:val="32"/>
          <w:szCs w:val="32"/>
          <w:highlight w:val="none"/>
        </w:rPr>
      </w:pPr>
    </w:p>
    <w:p w14:paraId="623FCD9F">
      <w:pPr>
        <w:spacing w:line="400" w:lineRule="exact"/>
        <w:jc w:val="center"/>
        <w:rPr>
          <w:rFonts w:hint="eastAsia" w:ascii="宋体" w:hAnsi="宋体" w:cs="宋体"/>
          <w:b/>
          <w:color w:val="auto"/>
          <w:sz w:val="32"/>
          <w:szCs w:val="32"/>
          <w:highlight w:val="none"/>
        </w:rPr>
      </w:pPr>
    </w:p>
    <w:p w14:paraId="46BE7A17">
      <w:pPr>
        <w:spacing w:line="400" w:lineRule="exact"/>
        <w:jc w:val="center"/>
        <w:rPr>
          <w:rFonts w:hint="eastAsia" w:ascii="宋体" w:hAnsi="宋体" w:cs="宋体"/>
          <w:b/>
          <w:color w:val="auto"/>
          <w:sz w:val="32"/>
          <w:szCs w:val="32"/>
          <w:highlight w:val="none"/>
        </w:rPr>
      </w:pPr>
    </w:p>
    <w:p w14:paraId="2DCB65EC">
      <w:pPr>
        <w:spacing w:line="400" w:lineRule="exact"/>
        <w:jc w:val="center"/>
        <w:rPr>
          <w:rFonts w:hint="eastAsia" w:ascii="宋体" w:hAnsi="宋体" w:cs="宋体"/>
          <w:b/>
          <w:color w:val="auto"/>
          <w:sz w:val="32"/>
          <w:szCs w:val="32"/>
          <w:highlight w:val="none"/>
        </w:rPr>
      </w:pPr>
    </w:p>
    <w:p w14:paraId="05B7C177">
      <w:pPr>
        <w:spacing w:line="400" w:lineRule="exact"/>
        <w:jc w:val="center"/>
        <w:rPr>
          <w:rFonts w:hint="eastAsia" w:ascii="宋体" w:hAnsi="宋体" w:cs="宋体"/>
          <w:b/>
          <w:color w:val="auto"/>
          <w:sz w:val="32"/>
          <w:szCs w:val="32"/>
          <w:highlight w:val="none"/>
        </w:rPr>
      </w:pPr>
    </w:p>
    <w:p w14:paraId="2B7E49DD">
      <w:pPr>
        <w:spacing w:line="400" w:lineRule="exact"/>
        <w:jc w:val="center"/>
        <w:rPr>
          <w:rFonts w:hint="eastAsia" w:ascii="宋体" w:hAnsi="宋体" w:cs="宋体"/>
          <w:b/>
          <w:color w:val="auto"/>
          <w:sz w:val="32"/>
          <w:szCs w:val="32"/>
          <w:highlight w:val="none"/>
        </w:rPr>
      </w:pPr>
    </w:p>
    <w:p w14:paraId="3956279D">
      <w:pPr>
        <w:spacing w:line="400" w:lineRule="exact"/>
        <w:jc w:val="center"/>
        <w:rPr>
          <w:rFonts w:hint="eastAsia" w:ascii="宋体" w:hAnsi="宋体" w:cs="宋体"/>
          <w:b/>
          <w:color w:val="auto"/>
          <w:sz w:val="32"/>
          <w:szCs w:val="32"/>
          <w:highlight w:val="none"/>
        </w:rPr>
      </w:pPr>
    </w:p>
    <w:p w14:paraId="0CC40C96">
      <w:pPr>
        <w:spacing w:line="400" w:lineRule="exact"/>
        <w:jc w:val="center"/>
        <w:rPr>
          <w:rFonts w:hint="eastAsia" w:ascii="宋体" w:hAnsi="宋体" w:cs="宋体"/>
          <w:b/>
          <w:color w:val="auto"/>
          <w:sz w:val="32"/>
          <w:szCs w:val="32"/>
          <w:highlight w:val="none"/>
        </w:rPr>
      </w:pPr>
    </w:p>
    <w:p w14:paraId="0408F7BD">
      <w:pPr>
        <w:spacing w:line="400" w:lineRule="exact"/>
        <w:jc w:val="center"/>
        <w:rPr>
          <w:rFonts w:hint="eastAsia" w:ascii="宋体" w:hAnsi="宋体" w:cs="宋体"/>
          <w:b/>
          <w:color w:val="auto"/>
          <w:sz w:val="32"/>
          <w:szCs w:val="32"/>
          <w:highlight w:val="none"/>
        </w:rPr>
      </w:pPr>
    </w:p>
    <w:p w14:paraId="35F58FCE">
      <w:pPr>
        <w:spacing w:line="400" w:lineRule="exact"/>
        <w:jc w:val="center"/>
        <w:rPr>
          <w:rFonts w:hint="eastAsia" w:ascii="宋体" w:hAnsi="宋体" w:cs="宋体"/>
          <w:b/>
          <w:color w:val="auto"/>
          <w:sz w:val="32"/>
          <w:szCs w:val="32"/>
          <w:highlight w:val="none"/>
        </w:rPr>
      </w:pPr>
    </w:p>
    <w:p w14:paraId="57591859">
      <w:pPr>
        <w:pStyle w:val="12"/>
        <w:rPr>
          <w:rFonts w:hint="eastAsia" w:ascii="宋体" w:hAnsi="宋体" w:cs="宋体"/>
          <w:color w:val="auto"/>
          <w:sz w:val="44"/>
          <w:szCs w:val="44"/>
          <w:highlight w:val="none"/>
        </w:rPr>
      </w:pPr>
      <w:bookmarkStart w:id="39" w:name="_Toc476258665"/>
      <w:bookmarkStart w:id="40" w:name="_Toc22745"/>
      <w:r>
        <w:rPr>
          <w:rFonts w:hint="eastAsia" w:ascii="宋体" w:hAnsi="宋体" w:cs="宋体"/>
          <w:color w:val="auto"/>
          <w:sz w:val="44"/>
          <w:szCs w:val="44"/>
          <w:highlight w:val="none"/>
        </w:rPr>
        <w:t>第四章  竞争性磋商响应文件格式</w:t>
      </w:r>
      <w:bookmarkEnd w:id="39"/>
      <w:bookmarkEnd w:id="40"/>
    </w:p>
    <w:p w14:paraId="2ADDCE45">
      <w:pPr>
        <w:spacing w:line="500" w:lineRule="exact"/>
        <w:jc w:val="center"/>
        <w:rPr>
          <w:rFonts w:hint="eastAsia" w:ascii="宋体" w:hAnsi="宋体" w:cs="宋体"/>
          <w:b/>
          <w:color w:val="auto"/>
          <w:sz w:val="32"/>
          <w:szCs w:val="32"/>
          <w:highlight w:val="none"/>
        </w:rPr>
      </w:pPr>
    </w:p>
    <w:p w14:paraId="393ED294">
      <w:pPr>
        <w:spacing w:line="720" w:lineRule="auto"/>
        <w:jc w:val="center"/>
        <w:rPr>
          <w:rFonts w:hint="eastAsia"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竞争性磋商响应文件封面</w:t>
      </w:r>
      <w:r>
        <w:rPr>
          <w:rFonts w:hint="eastAsia" w:ascii="宋体" w:hAnsi="宋体" w:cs="宋体"/>
          <w:b/>
          <w:bCs/>
          <w:color w:val="auto"/>
          <w:sz w:val="30"/>
          <w:szCs w:val="30"/>
          <w:highlight w:val="none"/>
        </w:rPr>
        <w:t>格式</w:t>
      </w:r>
    </w:p>
    <w:p w14:paraId="42403CF1">
      <w:pPr>
        <w:spacing w:line="240" w:lineRule="atLeast"/>
        <w:rPr>
          <w:rFonts w:hint="eastAsia" w:ascii="宋体" w:hAnsi="宋体" w:cs="宋体"/>
          <w:b/>
          <w:color w:val="auto"/>
          <w:sz w:val="32"/>
          <w:szCs w:val="32"/>
          <w:highlight w:val="none"/>
          <w:u w:val="single"/>
        </w:rPr>
      </w:pPr>
    </w:p>
    <w:p w14:paraId="7BFE5467">
      <w:pPr>
        <w:spacing w:line="240" w:lineRule="atLeast"/>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14:paraId="30D6B5B9">
      <w:pPr>
        <w:snapToGrid w:val="0"/>
        <w:spacing w:before="156" w:beforeLines="50" w:after="50" w:line="360" w:lineRule="exact"/>
        <w:ind w:left="8400" w:hanging="8400" w:hangingChars="3000"/>
        <w:rPr>
          <w:rFonts w:hint="eastAsia" w:ascii="宋体" w:hAnsi="宋体" w:cs="宋体"/>
          <w:bCs/>
          <w:color w:val="auto"/>
          <w:sz w:val="28"/>
          <w:szCs w:val="28"/>
          <w:highlight w:val="none"/>
        </w:rPr>
      </w:pPr>
    </w:p>
    <w:p w14:paraId="6138816C">
      <w:pPr>
        <w:snapToGrid w:val="0"/>
        <w:spacing w:before="156" w:beforeLines="50" w:after="50" w:line="360" w:lineRule="exact"/>
        <w:jc w:val="center"/>
        <w:rPr>
          <w:rFonts w:hint="eastAsia" w:ascii="宋体" w:hAnsi="宋体" w:cs="宋体"/>
          <w:bCs/>
          <w:color w:val="auto"/>
          <w:sz w:val="24"/>
          <w:highlight w:val="none"/>
        </w:rPr>
      </w:pPr>
      <w:r>
        <w:rPr>
          <w:rFonts w:hint="eastAsia" w:ascii="宋体" w:hAnsi="宋体" w:cs="宋体"/>
          <w:b/>
          <w:color w:val="auto"/>
          <w:sz w:val="44"/>
          <w:szCs w:val="44"/>
          <w:highlight w:val="none"/>
        </w:rPr>
        <w:t>竞争性磋商响应文件</w:t>
      </w:r>
      <w:r>
        <w:rPr>
          <w:rFonts w:hint="eastAsia" w:ascii="宋体" w:hAnsi="宋体" w:cs="宋体"/>
          <w:color w:val="auto"/>
          <w:sz w:val="28"/>
          <w:szCs w:val="28"/>
          <w:highlight w:val="none"/>
        </w:rPr>
        <w:t>（封面）</w:t>
      </w:r>
    </w:p>
    <w:p w14:paraId="41DF1BE0">
      <w:pPr>
        <w:spacing w:line="500" w:lineRule="exact"/>
        <w:ind w:firstLine="420" w:firstLineChars="200"/>
        <w:rPr>
          <w:rFonts w:hint="eastAsia" w:ascii="宋体" w:hAnsi="宋体" w:cs="宋体"/>
          <w:color w:val="auto"/>
          <w:szCs w:val="21"/>
          <w:highlight w:val="none"/>
        </w:rPr>
      </w:pPr>
    </w:p>
    <w:p w14:paraId="6AE9402A">
      <w:pPr>
        <w:spacing w:line="500" w:lineRule="exact"/>
        <w:ind w:firstLine="420" w:firstLineChars="200"/>
        <w:rPr>
          <w:rFonts w:hint="eastAsia" w:ascii="宋体" w:hAnsi="宋体" w:cs="宋体"/>
          <w:color w:val="auto"/>
          <w:szCs w:val="21"/>
          <w:highlight w:val="none"/>
        </w:rPr>
      </w:pPr>
    </w:p>
    <w:p w14:paraId="70FE3A6D">
      <w:pPr>
        <w:spacing w:line="500" w:lineRule="exact"/>
        <w:ind w:firstLine="420" w:firstLineChars="200"/>
        <w:rPr>
          <w:rFonts w:hint="eastAsia" w:ascii="宋体" w:hAnsi="宋体" w:cs="宋体"/>
          <w:color w:val="auto"/>
          <w:szCs w:val="21"/>
          <w:highlight w:val="none"/>
        </w:rPr>
      </w:pPr>
    </w:p>
    <w:p w14:paraId="3D456961">
      <w:pPr>
        <w:spacing w:line="600" w:lineRule="auto"/>
        <w:ind w:firstLine="420" w:firstLineChars="200"/>
        <w:jc w:val="left"/>
        <w:rPr>
          <w:rFonts w:hint="eastAsia"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14:paraId="22D3B2F8">
      <w:pPr>
        <w:spacing w:line="60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14:paraId="0DBE244C">
      <w:pPr>
        <w:spacing w:line="600" w:lineRule="auto"/>
        <w:ind w:firstLine="560" w:firstLineChars="200"/>
        <w:rPr>
          <w:rFonts w:hint="eastAsia"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14:paraId="52261E68">
      <w:pPr>
        <w:snapToGrid w:val="0"/>
        <w:spacing w:before="156" w:beforeLines="50" w:after="50" w:line="600" w:lineRule="auto"/>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 xml:space="preserve">      磋商供应商名称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14:paraId="7FF09C9E">
      <w:pPr>
        <w:spacing w:line="500" w:lineRule="exact"/>
        <w:jc w:val="center"/>
        <w:rPr>
          <w:rFonts w:hint="eastAsia" w:ascii="宋体" w:hAnsi="宋体" w:cs="宋体"/>
          <w:color w:val="auto"/>
          <w:szCs w:val="21"/>
          <w:highlight w:val="none"/>
        </w:rPr>
      </w:pPr>
      <w:r>
        <w:rPr>
          <w:rFonts w:hint="eastAsia" w:ascii="宋体" w:hAnsi="宋体" w:cs="宋体"/>
          <w:color w:val="auto"/>
          <w:sz w:val="24"/>
          <w:highlight w:val="none"/>
        </w:rPr>
        <w:t xml:space="preserve">                      </w:t>
      </w:r>
    </w:p>
    <w:p w14:paraId="0A769812">
      <w:pPr>
        <w:rPr>
          <w:rFonts w:hint="eastAsia"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14:paraId="6D6F0BD8">
      <w:pPr>
        <w:spacing w:line="520" w:lineRule="exact"/>
        <w:rPr>
          <w:rFonts w:hint="eastAsia" w:ascii="宋体" w:hAnsi="宋体" w:cs="宋体"/>
          <w:color w:val="auto"/>
          <w:szCs w:val="21"/>
          <w:highlight w:val="none"/>
        </w:rPr>
      </w:pPr>
    </w:p>
    <w:p w14:paraId="5C30EEC3">
      <w:pPr>
        <w:spacing w:line="520" w:lineRule="exact"/>
        <w:ind w:firstLine="3767" w:firstLineChars="1340"/>
        <w:rPr>
          <w:rFonts w:hint="eastAsia" w:ascii="宋体" w:hAnsi="宋体" w:cs="宋体"/>
          <w:b/>
          <w:color w:val="auto"/>
          <w:sz w:val="28"/>
          <w:szCs w:val="28"/>
          <w:highlight w:val="none"/>
        </w:rPr>
      </w:pPr>
    </w:p>
    <w:p w14:paraId="43E98E48">
      <w:pPr>
        <w:spacing w:line="520" w:lineRule="exact"/>
        <w:ind w:firstLine="3767" w:firstLineChars="1340"/>
        <w:rPr>
          <w:rFonts w:hint="eastAsia" w:ascii="宋体" w:hAnsi="宋体" w:cs="宋体"/>
          <w:b/>
          <w:color w:val="auto"/>
          <w:sz w:val="28"/>
          <w:szCs w:val="28"/>
          <w:highlight w:val="none"/>
        </w:rPr>
      </w:pPr>
    </w:p>
    <w:p w14:paraId="3BA0F6D7">
      <w:pPr>
        <w:spacing w:line="520" w:lineRule="exact"/>
        <w:ind w:firstLine="3767" w:firstLineChars="1340"/>
        <w:rPr>
          <w:rFonts w:hint="eastAsia" w:ascii="宋体" w:hAnsi="宋体" w:cs="宋体"/>
          <w:b/>
          <w:color w:val="auto"/>
          <w:sz w:val="28"/>
          <w:szCs w:val="28"/>
          <w:highlight w:val="none"/>
        </w:rPr>
      </w:pPr>
    </w:p>
    <w:p w14:paraId="11C2B0CC">
      <w:pPr>
        <w:spacing w:line="520" w:lineRule="exact"/>
        <w:ind w:firstLine="3767" w:firstLineChars="1340"/>
        <w:rPr>
          <w:rFonts w:hint="eastAsia" w:ascii="宋体" w:hAnsi="宋体" w:cs="宋体"/>
          <w:b/>
          <w:color w:val="auto"/>
          <w:sz w:val="28"/>
          <w:szCs w:val="28"/>
          <w:highlight w:val="none"/>
        </w:rPr>
      </w:pPr>
    </w:p>
    <w:p w14:paraId="754A1127">
      <w:pPr>
        <w:spacing w:line="72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14:paraId="13FB820A">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附件一 </w:t>
      </w:r>
    </w:p>
    <w:p w14:paraId="23B79957">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7EC2298B">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734838F8">
      <w:pPr>
        <w:spacing w:line="500" w:lineRule="exact"/>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1C3723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1080"/>
        <w:gridCol w:w="1170"/>
        <w:gridCol w:w="1920"/>
        <w:gridCol w:w="1748"/>
        <w:gridCol w:w="836"/>
      </w:tblGrid>
      <w:tr w14:paraId="689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vAlign w:val="center"/>
          </w:tcPr>
          <w:p w14:paraId="463EEC8F">
            <w:pPr>
              <w:pStyle w:val="7"/>
              <w:spacing w:line="400" w:lineRule="exact"/>
              <w:ind w:left="480" w:hanging="480"/>
              <w:jc w:val="center"/>
              <w:rPr>
                <w:rFonts w:hint="eastAsia" w:hAnsi="宋体" w:cs="宋体"/>
                <w:color w:val="auto"/>
                <w:spacing w:val="-20"/>
                <w:highlight w:val="none"/>
              </w:rPr>
            </w:pPr>
            <w:r>
              <w:rPr>
                <w:rFonts w:hint="eastAsia" w:hAnsi="宋体" w:cs="宋体"/>
                <w:color w:val="auto"/>
                <w:spacing w:val="-20"/>
                <w:highlight w:val="none"/>
              </w:rPr>
              <w:t>序号</w:t>
            </w:r>
          </w:p>
        </w:tc>
        <w:tc>
          <w:tcPr>
            <w:tcW w:w="2446" w:type="dxa"/>
            <w:tcBorders>
              <w:bottom w:val="single" w:color="auto" w:sz="4" w:space="0"/>
            </w:tcBorders>
            <w:vAlign w:val="center"/>
          </w:tcPr>
          <w:p w14:paraId="3EB6277F">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服务项目名称</w:t>
            </w:r>
          </w:p>
        </w:tc>
        <w:tc>
          <w:tcPr>
            <w:tcW w:w="1080" w:type="dxa"/>
            <w:tcBorders>
              <w:bottom w:val="single" w:color="auto" w:sz="4" w:space="0"/>
            </w:tcBorders>
            <w:vAlign w:val="center"/>
          </w:tcPr>
          <w:p w14:paraId="67DF7B4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单位</w:t>
            </w:r>
            <w:r>
              <w:rPr>
                <w:rFonts w:hint="eastAsia" w:ascii="宋体" w:hAnsi="宋体" w:cs="宋体"/>
                <w:color w:val="auto"/>
                <w:highlight w:val="none"/>
              </w:rPr>
              <w:t>①</w:t>
            </w:r>
          </w:p>
        </w:tc>
        <w:tc>
          <w:tcPr>
            <w:tcW w:w="1170" w:type="dxa"/>
            <w:tcBorders>
              <w:bottom w:val="single" w:color="auto" w:sz="4" w:space="0"/>
            </w:tcBorders>
            <w:vAlign w:val="center"/>
          </w:tcPr>
          <w:p w14:paraId="70BB6704">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单价（元）</w:t>
            </w:r>
          </w:p>
          <w:p w14:paraId="6FDC0B7F">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②</w:t>
            </w:r>
          </w:p>
        </w:tc>
        <w:tc>
          <w:tcPr>
            <w:tcW w:w="1920" w:type="dxa"/>
            <w:tcBorders>
              <w:bottom w:val="single" w:color="auto" w:sz="4" w:space="0"/>
            </w:tcBorders>
            <w:vAlign w:val="center"/>
          </w:tcPr>
          <w:p w14:paraId="35384A5D">
            <w:pPr>
              <w:pStyle w:val="7"/>
              <w:spacing w:line="400" w:lineRule="exact"/>
              <w:jc w:val="center"/>
              <w:rPr>
                <w:rFonts w:hint="eastAsia" w:hAnsi="宋体" w:cs="宋体"/>
                <w:color w:val="auto"/>
                <w:highlight w:val="none"/>
              </w:rPr>
            </w:pPr>
            <w:r>
              <w:rPr>
                <w:rFonts w:hint="eastAsia" w:hAnsi="宋体" w:cs="宋体"/>
                <w:color w:val="auto"/>
                <w:highlight w:val="none"/>
              </w:rPr>
              <w:t>单项合价</w:t>
            </w:r>
          </w:p>
          <w:p w14:paraId="4DD6D647">
            <w:pPr>
              <w:pStyle w:val="7"/>
              <w:spacing w:line="400" w:lineRule="exact"/>
              <w:jc w:val="center"/>
              <w:rPr>
                <w:rFonts w:hint="eastAsia" w:hAnsi="宋体" w:cs="宋体"/>
                <w:color w:val="auto"/>
                <w:highlight w:val="none"/>
              </w:rPr>
            </w:pPr>
            <w:r>
              <w:rPr>
                <w:rFonts w:hint="eastAsia" w:hAnsi="宋体" w:cs="宋体"/>
                <w:color w:val="auto"/>
                <w:highlight w:val="none"/>
              </w:rPr>
              <w:t>（元）</w:t>
            </w:r>
          </w:p>
          <w:p w14:paraId="3384D7F2">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③=①×②</w:t>
            </w:r>
          </w:p>
        </w:tc>
        <w:tc>
          <w:tcPr>
            <w:tcW w:w="1748" w:type="dxa"/>
            <w:tcBorders>
              <w:bottom w:val="single" w:color="auto" w:sz="4" w:space="0"/>
            </w:tcBorders>
            <w:vAlign w:val="center"/>
          </w:tcPr>
          <w:p w14:paraId="65D9ADAF">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服务期限</w:t>
            </w:r>
          </w:p>
        </w:tc>
        <w:tc>
          <w:tcPr>
            <w:tcW w:w="836" w:type="dxa"/>
            <w:tcBorders>
              <w:bottom w:val="single" w:color="auto" w:sz="4" w:space="0"/>
            </w:tcBorders>
            <w:vAlign w:val="center"/>
          </w:tcPr>
          <w:p w14:paraId="1D763EC1">
            <w:pPr>
              <w:pStyle w:val="7"/>
              <w:spacing w:line="400" w:lineRule="exact"/>
              <w:ind w:left="560" w:hanging="560"/>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备注</w:t>
            </w:r>
          </w:p>
        </w:tc>
      </w:tr>
      <w:tr w14:paraId="649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vAlign w:val="center"/>
          </w:tcPr>
          <w:p w14:paraId="4271744A">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46" w:type="dxa"/>
            <w:vAlign w:val="center"/>
          </w:tcPr>
          <w:p w14:paraId="6519BD5A">
            <w:pPr>
              <w:pStyle w:val="7"/>
              <w:ind w:left="560" w:hanging="560"/>
              <w:jc w:val="center"/>
              <w:rPr>
                <w:rFonts w:hint="eastAsia" w:hAnsi="宋体" w:cs="宋体"/>
                <w:color w:val="auto"/>
                <w:highlight w:val="none"/>
              </w:rPr>
            </w:pPr>
          </w:p>
        </w:tc>
        <w:tc>
          <w:tcPr>
            <w:tcW w:w="1080" w:type="dxa"/>
            <w:vAlign w:val="center"/>
          </w:tcPr>
          <w:p w14:paraId="62CF39A5">
            <w:pPr>
              <w:pStyle w:val="7"/>
              <w:ind w:left="560" w:hanging="560"/>
              <w:jc w:val="center"/>
              <w:rPr>
                <w:rFonts w:hint="eastAsia" w:hAnsi="宋体" w:eastAsia="宋体" w:cs="宋体"/>
                <w:color w:val="auto"/>
                <w:highlight w:val="none"/>
                <w:lang w:val="en-US" w:eastAsia="zh-CN"/>
              </w:rPr>
            </w:pPr>
          </w:p>
        </w:tc>
        <w:tc>
          <w:tcPr>
            <w:tcW w:w="1170" w:type="dxa"/>
            <w:vAlign w:val="center"/>
          </w:tcPr>
          <w:p w14:paraId="37191BB8">
            <w:pPr>
              <w:pStyle w:val="7"/>
              <w:ind w:left="560" w:hanging="560"/>
              <w:jc w:val="center"/>
              <w:rPr>
                <w:rFonts w:hint="default" w:hAnsi="宋体" w:eastAsia="宋体" w:cs="宋体"/>
                <w:color w:val="auto"/>
                <w:highlight w:val="none"/>
                <w:lang w:val="en-US" w:eastAsia="zh-CN"/>
              </w:rPr>
            </w:pPr>
          </w:p>
        </w:tc>
        <w:tc>
          <w:tcPr>
            <w:tcW w:w="1920" w:type="dxa"/>
            <w:vAlign w:val="center"/>
          </w:tcPr>
          <w:p w14:paraId="15BA8514">
            <w:pPr>
              <w:pStyle w:val="7"/>
              <w:ind w:left="560" w:hanging="560"/>
              <w:jc w:val="center"/>
              <w:rPr>
                <w:rFonts w:hint="default" w:hAnsi="宋体" w:eastAsia="宋体" w:cs="宋体"/>
                <w:color w:val="auto"/>
                <w:highlight w:val="none"/>
                <w:lang w:val="en-US" w:eastAsia="zh-CN"/>
              </w:rPr>
            </w:pPr>
          </w:p>
        </w:tc>
        <w:tc>
          <w:tcPr>
            <w:tcW w:w="1748" w:type="dxa"/>
            <w:vAlign w:val="center"/>
          </w:tcPr>
          <w:p w14:paraId="6314F1EC">
            <w:pPr>
              <w:pStyle w:val="7"/>
              <w:ind w:left="536" w:hanging="536"/>
              <w:jc w:val="center"/>
              <w:rPr>
                <w:rFonts w:hint="eastAsia" w:hAnsi="宋体" w:cs="宋体"/>
                <w:color w:val="auto"/>
                <w:spacing w:val="-6"/>
                <w:highlight w:val="none"/>
              </w:rPr>
            </w:pPr>
          </w:p>
        </w:tc>
        <w:tc>
          <w:tcPr>
            <w:tcW w:w="836" w:type="dxa"/>
            <w:vAlign w:val="center"/>
          </w:tcPr>
          <w:p w14:paraId="451DC35B">
            <w:pPr>
              <w:pStyle w:val="7"/>
              <w:ind w:left="536" w:hanging="536"/>
              <w:jc w:val="center"/>
              <w:rPr>
                <w:rFonts w:hint="eastAsia" w:hAnsi="宋体" w:cs="宋体"/>
                <w:color w:val="auto"/>
                <w:spacing w:val="-6"/>
                <w:highlight w:val="none"/>
              </w:rPr>
            </w:pPr>
          </w:p>
        </w:tc>
      </w:tr>
      <w:tr w14:paraId="2FB8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91" w:type="dxa"/>
            <w:gridSpan w:val="6"/>
            <w:vAlign w:val="center"/>
          </w:tcPr>
          <w:p w14:paraId="10F014FC">
            <w:pPr>
              <w:pStyle w:val="7"/>
              <w:ind w:left="536" w:hanging="536"/>
              <w:rPr>
                <w:rFonts w:hint="eastAsia"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c>
          <w:tcPr>
            <w:tcW w:w="836" w:type="dxa"/>
            <w:vAlign w:val="center"/>
          </w:tcPr>
          <w:p w14:paraId="7C5BFBA0">
            <w:pPr>
              <w:pStyle w:val="7"/>
              <w:ind w:left="536" w:hanging="536"/>
              <w:rPr>
                <w:rFonts w:hint="eastAsia" w:hAnsi="宋体" w:cs="宋体"/>
                <w:color w:val="auto"/>
                <w:spacing w:val="-6"/>
                <w:highlight w:val="none"/>
              </w:rPr>
            </w:pPr>
          </w:p>
        </w:tc>
      </w:tr>
      <w:tr w14:paraId="261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91" w:type="dxa"/>
            <w:gridSpan w:val="6"/>
            <w:vAlign w:val="center"/>
          </w:tcPr>
          <w:p w14:paraId="118297AB">
            <w:pPr>
              <w:pStyle w:val="7"/>
              <w:ind w:left="536" w:hanging="536"/>
              <w:rPr>
                <w:rFonts w:hint="eastAsia" w:hAnsi="宋体" w:eastAsia="宋体" w:cs="宋体"/>
                <w:color w:val="auto"/>
                <w:spacing w:val="-6"/>
                <w:highlight w:val="none"/>
                <w:lang w:eastAsia="zh-CN"/>
              </w:rPr>
            </w:pPr>
            <w:r>
              <w:rPr>
                <w:rFonts w:hint="eastAsia" w:hAnsi="宋体" w:cs="宋体"/>
                <w:color w:val="auto"/>
                <w:spacing w:val="-6"/>
                <w:highlight w:val="none"/>
                <w:lang w:eastAsia="zh-CN"/>
              </w:rPr>
              <w:t>质保期</w:t>
            </w:r>
          </w:p>
        </w:tc>
        <w:tc>
          <w:tcPr>
            <w:tcW w:w="836" w:type="dxa"/>
            <w:vAlign w:val="center"/>
          </w:tcPr>
          <w:p w14:paraId="798A2674">
            <w:pPr>
              <w:pStyle w:val="7"/>
              <w:ind w:left="536" w:hanging="536"/>
              <w:rPr>
                <w:rFonts w:hint="eastAsia" w:hAnsi="宋体" w:cs="宋体"/>
                <w:color w:val="auto"/>
                <w:spacing w:val="-6"/>
                <w:highlight w:val="none"/>
              </w:rPr>
            </w:pPr>
          </w:p>
        </w:tc>
      </w:tr>
    </w:tbl>
    <w:p w14:paraId="5A6E43EF">
      <w:pPr>
        <w:spacing w:line="400" w:lineRule="exact"/>
        <w:rPr>
          <w:rFonts w:hint="eastAsia" w:ascii="宋体" w:hAnsi="宋体" w:cs="宋体"/>
          <w:color w:val="auto"/>
          <w:szCs w:val="21"/>
          <w:highlight w:val="none"/>
        </w:rPr>
      </w:pPr>
    </w:p>
    <w:p w14:paraId="4997C5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6DDC9DB8">
      <w:pPr>
        <w:spacing w:line="400" w:lineRule="exact"/>
        <w:ind w:firstLine="411" w:firstLineChars="196"/>
        <w:rPr>
          <w:rFonts w:hint="eastAsia"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14:paraId="539126BA">
      <w:pPr>
        <w:pStyle w:val="7"/>
        <w:spacing w:line="500" w:lineRule="exact"/>
        <w:ind w:firstLine="420" w:firstLineChars="200"/>
        <w:rPr>
          <w:rFonts w:hint="eastAsia" w:hAnsi="宋体" w:cs="宋体"/>
          <w:color w:val="auto"/>
          <w:highlight w:val="none"/>
        </w:rPr>
      </w:pPr>
    </w:p>
    <w:p w14:paraId="22964F1C">
      <w:pPr>
        <w:pStyle w:val="7"/>
        <w:spacing w:line="500" w:lineRule="exact"/>
        <w:ind w:firstLine="420" w:firstLineChars="200"/>
        <w:rPr>
          <w:rFonts w:hint="eastAsia"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23847F3A">
      <w:pPr>
        <w:pStyle w:val="7"/>
        <w:spacing w:line="500" w:lineRule="exact"/>
        <w:ind w:firstLine="420" w:firstLineChars="200"/>
        <w:rPr>
          <w:rFonts w:hint="eastAsia" w:hAnsi="宋体" w:cs="宋体"/>
          <w:color w:val="auto"/>
          <w:highlight w:val="none"/>
          <w:u w:val="singl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5E591F0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br w:type="page"/>
      </w:r>
      <w:r>
        <w:rPr>
          <w:rFonts w:hint="eastAsia" w:ascii="宋体" w:hAnsi="宋体" w:cs="宋体"/>
          <w:b/>
          <w:color w:val="auto"/>
          <w:szCs w:val="21"/>
          <w:highlight w:val="none"/>
        </w:rPr>
        <w:t>附件二</w:t>
      </w:r>
    </w:p>
    <w:p w14:paraId="119A44B6">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  商  书</w:t>
      </w:r>
    </w:p>
    <w:p w14:paraId="6862A859">
      <w:pPr>
        <w:spacing w:line="520" w:lineRule="exact"/>
        <w:jc w:val="center"/>
        <w:rPr>
          <w:rFonts w:hint="eastAsia" w:ascii="宋体" w:hAnsi="宋体" w:cs="宋体"/>
          <w:b/>
          <w:color w:val="auto"/>
          <w:szCs w:val="21"/>
          <w:highlight w:val="none"/>
        </w:rPr>
      </w:pPr>
    </w:p>
    <w:p w14:paraId="376413D1">
      <w:pPr>
        <w:pStyle w:val="7"/>
        <w:spacing w:line="520" w:lineRule="exact"/>
        <w:rPr>
          <w:rFonts w:hint="eastAsia"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14:paraId="07A084C6">
      <w:pPr>
        <w:pStyle w:val="7"/>
        <w:spacing w:line="520" w:lineRule="exact"/>
        <w:ind w:firstLine="480"/>
        <w:rPr>
          <w:rFonts w:hint="eastAsia"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项目采购的磋商邀请，我方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（磋商供应商名称、地址）</w:t>
      </w:r>
      <w:r>
        <w:rPr>
          <w:rFonts w:hint="eastAsia" w:hAnsi="宋体" w:cs="宋体"/>
          <w:color w:val="auto"/>
          <w:highlight w:val="none"/>
        </w:rPr>
        <w:t>提交下述竞争性磋商响应文件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14:paraId="312B5EA0">
      <w:pPr>
        <w:pStyle w:val="7"/>
        <w:spacing w:line="520" w:lineRule="exact"/>
        <w:ind w:firstLine="480"/>
        <w:rPr>
          <w:rFonts w:hint="eastAsia" w:hAnsi="宋体" w:cs="宋体"/>
          <w:color w:val="auto"/>
          <w:highlight w:val="none"/>
        </w:rPr>
      </w:pPr>
      <w:r>
        <w:rPr>
          <w:rFonts w:hint="eastAsia" w:hAnsi="宋体" w:cs="宋体"/>
          <w:color w:val="auto"/>
          <w:highlight w:val="none"/>
        </w:rPr>
        <w:t>1. 报价表；</w:t>
      </w:r>
    </w:p>
    <w:p w14:paraId="5AB080BB">
      <w:pPr>
        <w:pStyle w:val="7"/>
        <w:spacing w:line="520" w:lineRule="exact"/>
        <w:ind w:firstLine="480"/>
        <w:rPr>
          <w:rFonts w:hint="eastAsia" w:hAnsi="宋体" w:cs="宋体"/>
          <w:color w:val="auto"/>
          <w:highlight w:val="none"/>
        </w:rPr>
      </w:pPr>
      <w:r>
        <w:rPr>
          <w:rFonts w:hint="eastAsia" w:hAnsi="宋体" w:cs="宋体"/>
          <w:color w:val="auto"/>
          <w:highlight w:val="none"/>
        </w:rPr>
        <w:t>2. 商务、技术响应、偏离情况说明表；</w:t>
      </w:r>
    </w:p>
    <w:p w14:paraId="212271BE">
      <w:pPr>
        <w:pStyle w:val="7"/>
        <w:spacing w:line="520" w:lineRule="exact"/>
        <w:ind w:firstLine="480"/>
        <w:rPr>
          <w:rFonts w:hint="eastAsia" w:hAnsi="宋体" w:cs="宋体"/>
          <w:color w:val="auto"/>
          <w:highlight w:val="none"/>
        </w:rPr>
      </w:pPr>
      <w:r>
        <w:rPr>
          <w:rFonts w:hint="eastAsia" w:hAnsi="宋体" w:cs="宋体"/>
          <w:color w:val="auto"/>
          <w:highlight w:val="none"/>
        </w:rPr>
        <w:t>3. 资格证明文件；</w:t>
      </w:r>
    </w:p>
    <w:p w14:paraId="075B8FC2">
      <w:pPr>
        <w:pStyle w:val="7"/>
        <w:spacing w:line="520" w:lineRule="exact"/>
        <w:ind w:firstLine="480"/>
        <w:rPr>
          <w:rFonts w:hint="eastAsia" w:hAnsi="宋体" w:cs="宋体"/>
          <w:color w:val="auto"/>
          <w:highlight w:val="none"/>
        </w:rPr>
      </w:pPr>
      <w:r>
        <w:rPr>
          <w:rFonts w:hint="eastAsia" w:hAnsi="宋体" w:cs="宋体"/>
          <w:color w:val="auto"/>
          <w:highlight w:val="none"/>
        </w:rPr>
        <w:t>4. 按竞争性磋商文件磋商供应商须知和采购需求提供的有关文件；</w:t>
      </w:r>
    </w:p>
    <w:p w14:paraId="47896D7B">
      <w:pPr>
        <w:pStyle w:val="7"/>
        <w:spacing w:line="520" w:lineRule="exact"/>
        <w:ind w:firstLine="480"/>
        <w:rPr>
          <w:rFonts w:hint="eastAsia" w:hAnsi="宋体" w:cs="宋体"/>
          <w:color w:val="auto"/>
          <w:highlight w:val="none"/>
        </w:rPr>
      </w:pPr>
      <w:r>
        <w:rPr>
          <w:rFonts w:hint="eastAsia" w:hAnsi="宋体" w:cs="宋体"/>
          <w:color w:val="auto"/>
          <w:highlight w:val="none"/>
        </w:rPr>
        <w:t>在此，授权代表宣布同意如下：</w:t>
      </w:r>
    </w:p>
    <w:p w14:paraId="49DEB0F3">
      <w:pPr>
        <w:pStyle w:val="7"/>
        <w:spacing w:line="520" w:lineRule="exact"/>
        <w:ind w:firstLine="480"/>
        <w:rPr>
          <w:rFonts w:hint="eastAsia" w:hAnsi="宋体" w:cs="宋体"/>
          <w:color w:val="auto"/>
          <w:highlight w:val="none"/>
        </w:rPr>
      </w:pPr>
      <w:r>
        <w:rPr>
          <w:rFonts w:hint="eastAsia" w:hAnsi="宋体" w:cs="宋体"/>
          <w:color w:val="auto"/>
          <w:highlight w:val="none"/>
        </w:rPr>
        <w:t>1. 将按竞争性磋商文件的约定履行合同责任和义务；</w:t>
      </w:r>
    </w:p>
    <w:p w14:paraId="32C5CBB6">
      <w:pPr>
        <w:pStyle w:val="7"/>
        <w:spacing w:line="520" w:lineRule="exact"/>
        <w:ind w:firstLine="480"/>
        <w:rPr>
          <w:rFonts w:hint="eastAsia" w:hAnsi="宋体" w:cs="宋体"/>
          <w:color w:val="auto"/>
          <w:highlight w:val="none"/>
        </w:rPr>
      </w:pPr>
      <w:r>
        <w:rPr>
          <w:rFonts w:hint="eastAsia" w:hAnsi="宋体" w:cs="宋体"/>
          <w:color w:val="auto"/>
          <w:highlight w:val="none"/>
        </w:rPr>
        <w:t>2. 已详细审查全部竞争性磋商文件，包括</w:t>
      </w:r>
      <w:r>
        <w:rPr>
          <w:rFonts w:hint="eastAsia" w:hAnsi="宋体" w:cs="宋体"/>
          <w:color w:val="auto"/>
          <w:highlight w:val="none"/>
          <w:u w:val="single"/>
        </w:rPr>
        <w:t>（补遗文件）（如果有的话）</w:t>
      </w:r>
      <w:r>
        <w:rPr>
          <w:rFonts w:hint="eastAsia" w:hAnsi="宋体" w:cs="宋体"/>
          <w:color w:val="auto"/>
          <w:highlight w:val="none"/>
        </w:rPr>
        <w:t>；</w:t>
      </w:r>
    </w:p>
    <w:p w14:paraId="500E0912">
      <w:pPr>
        <w:pStyle w:val="7"/>
        <w:spacing w:line="520" w:lineRule="exact"/>
        <w:ind w:firstLine="480"/>
        <w:rPr>
          <w:rFonts w:hint="eastAsia" w:hAnsi="宋体" w:cs="宋体"/>
          <w:color w:val="auto"/>
          <w:highlight w:val="none"/>
        </w:rPr>
      </w:pPr>
      <w:r>
        <w:rPr>
          <w:rFonts w:hint="eastAsia" w:hAnsi="宋体" w:cs="宋体"/>
          <w:color w:val="auto"/>
          <w:highlight w:val="none"/>
        </w:rPr>
        <w:t>3. 竞争性磋商响应文件有效期：</w:t>
      </w:r>
      <w:r>
        <w:rPr>
          <w:rFonts w:hint="eastAsia" w:hAnsi="宋体" w:cs="宋体"/>
          <w:color w:val="auto"/>
          <w:highlight w:val="none"/>
          <w:u w:val="single"/>
          <w:lang w:val="en-US" w:eastAsia="zh-CN"/>
        </w:rPr>
        <w:t xml:space="preserve">                                </w:t>
      </w:r>
      <w:r>
        <w:rPr>
          <w:rFonts w:hint="eastAsia" w:hAnsi="宋体" w:cs="宋体"/>
          <w:color w:val="auto"/>
          <w:highlight w:val="none"/>
        </w:rPr>
        <w:t>。</w:t>
      </w:r>
    </w:p>
    <w:p w14:paraId="6ACDC673">
      <w:pPr>
        <w:pStyle w:val="7"/>
        <w:spacing w:line="520" w:lineRule="exact"/>
        <w:ind w:firstLine="480"/>
        <w:rPr>
          <w:rFonts w:hint="eastAsia" w:hAnsi="宋体" w:cs="宋体"/>
          <w:color w:val="auto"/>
          <w:highlight w:val="none"/>
        </w:rPr>
      </w:pPr>
      <w:r>
        <w:rPr>
          <w:rFonts w:hint="eastAsia" w:hAnsi="宋体" w:cs="宋体"/>
          <w:color w:val="auto"/>
          <w:highlight w:val="none"/>
          <w:lang w:val="en-US" w:eastAsia="zh-CN"/>
        </w:rPr>
        <w:t>4.</w:t>
      </w:r>
      <w:r>
        <w:rPr>
          <w:rFonts w:hint="eastAsia" w:hAnsi="宋体" w:cs="宋体"/>
          <w:color w:val="auto"/>
          <w:highlight w:val="none"/>
        </w:rPr>
        <w:t>同意提供按照贵方可能要求的与其磋商有关的一切数据或资料；</w:t>
      </w:r>
    </w:p>
    <w:p w14:paraId="175EE568">
      <w:pPr>
        <w:pStyle w:val="7"/>
        <w:spacing w:line="520" w:lineRule="exact"/>
        <w:ind w:firstLine="48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 与本磋商有关的一切正式往来信函请寄：</w:t>
      </w:r>
      <w:r>
        <w:rPr>
          <w:rFonts w:hint="eastAsia" w:hAnsi="宋体" w:cs="宋体"/>
          <w:color w:val="auto"/>
          <w:highlight w:val="none"/>
          <w:u w:val="single"/>
        </w:rPr>
        <w:t xml:space="preserve">                                    </w:t>
      </w:r>
    </w:p>
    <w:p w14:paraId="6133AA23">
      <w:pPr>
        <w:pStyle w:val="7"/>
        <w:spacing w:line="520" w:lineRule="exact"/>
        <w:ind w:firstLine="84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14:paraId="290978FA">
      <w:pPr>
        <w:pStyle w:val="7"/>
        <w:spacing w:line="520" w:lineRule="exact"/>
        <w:ind w:firstLine="840"/>
        <w:rPr>
          <w:rFonts w:hint="eastAsia"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14:paraId="7FA04144">
      <w:pPr>
        <w:pStyle w:val="7"/>
        <w:spacing w:line="520" w:lineRule="exact"/>
        <w:ind w:firstLine="84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E0C1D3D">
      <w:pPr>
        <w:pStyle w:val="7"/>
        <w:spacing w:line="520" w:lineRule="exact"/>
        <w:ind w:firstLine="840"/>
        <w:rPr>
          <w:rFonts w:hint="eastAsia" w:hAnsi="宋体" w:cs="宋体"/>
          <w:color w:val="auto"/>
          <w:highlight w:val="none"/>
        </w:rPr>
      </w:pPr>
    </w:p>
    <w:p w14:paraId="154ED308">
      <w:pPr>
        <w:pStyle w:val="7"/>
        <w:spacing w:line="520" w:lineRule="exact"/>
        <w:ind w:firstLine="840"/>
        <w:rPr>
          <w:rFonts w:hint="eastAsia"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14:paraId="62229B8A">
      <w:pPr>
        <w:pStyle w:val="7"/>
        <w:spacing w:line="520" w:lineRule="exact"/>
        <w:ind w:firstLine="840"/>
        <w:rPr>
          <w:rFonts w:hint="eastAsia" w:hAnsi="宋体" w:cs="宋体"/>
          <w:color w:val="auto"/>
          <w:highlight w:val="non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3ED8B9BC">
      <w:pPr>
        <w:pStyle w:val="7"/>
        <w:spacing w:line="520" w:lineRule="exact"/>
        <w:ind w:firstLine="840"/>
        <w:rPr>
          <w:rFonts w:hint="eastAsia" w:ascii="宋体" w:hAnsi="宋体" w:cs="宋体"/>
          <w:color w:val="auto"/>
          <w:szCs w:val="21"/>
          <w:highlight w:val="none"/>
        </w:rPr>
      </w:pPr>
    </w:p>
    <w:p w14:paraId="03D5AD70">
      <w:pPr>
        <w:spacing w:line="520" w:lineRule="exact"/>
        <w:jc w:val="center"/>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磋商声明书</w:t>
      </w:r>
    </w:p>
    <w:p w14:paraId="38C25D25">
      <w:pPr>
        <w:spacing w:line="320" w:lineRule="exact"/>
        <w:jc w:val="center"/>
        <w:rPr>
          <w:rFonts w:hint="eastAsia" w:ascii="宋体" w:hAnsi="宋体" w:cs="宋体"/>
          <w:color w:val="auto"/>
          <w:sz w:val="24"/>
          <w:szCs w:val="20"/>
          <w:highlight w:val="none"/>
        </w:rPr>
      </w:pPr>
    </w:p>
    <w:p w14:paraId="114E69A2">
      <w:pPr>
        <w:snapToGrid w:val="0"/>
        <w:spacing w:before="156" w:beforeLines="50" w:after="50" w:line="38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578C2203">
      <w:pPr>
        <w:snapToGrid w:val="0"/>
        <w:spacing w:before="156" w:beforeLines="50" w:after="50"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6DFD4B">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项目的磋商活动，为便于贵方公正、择优地确定成交供应商及其竞标产品和服务，我方就本次磋商有关事项郑重声明如下：</w:t>
      </w:r>
    </w:p>
    <w:p w14:paraId="636B0E92">
      <w:pPr>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10026AE">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665C16F8">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3.我方此次向贵方提供的产品（服务）名称为：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；我方承诺具备履行合同所必需的设备和专业技术能力。</w:t>
      </w:r>
    </w:p>
    <w:p w14:paraId="79AF200A">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4.我方诚意提请贵方关注：近期有关该产品（服务）方面的重大决策和事项有：</w:t>
      </w:r>
    </w:p>
    <w:p w14:paraId="6C9E633B">
      <w:pPr>
        <w:snapToGrid w:val="0"/>
        <w:spacing w:before="156" w:beforeLines="50"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14:paraId="3BE47330">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w:t>
      </w:r>
    </w:p>
    <w:p w14:paraId="05901212">
      <w:pPr>
        <w:pStyle w:val="4"/>
        <w:snapToGrid w:val="0"/>
        <w:spacing w:line="3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14:paraId="145E2C28">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72ED682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3D058E05">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05983CC">
      <w:pPr>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65FFCD19">
      <w:pPr>
        <w:pStyle w:val="6"/>
        <w:tabs>
          <w:tab w:val="left" w:pos="939"/>
        </w:tabs>
        <w:snapToGrid w:val="0"/>
        <w:spacing w:line="380" w:lineRule="exact"/>
        <w:ind w:left="849" w:leftChars="150" w:hanging="534" w:hangingChars="191"/>
        <w:rPr>
          <w:rFonts w:hint="eastAsia" w:ascii="宋体" w:hAnsi="宋体" w:cs="宋体"/>
          <w:color w:val="auto"/>
          <w:szCs w:val="21"/>
          <w:highlight w:val="none"/>
        </w:rPr>
      </w:pPr>
    </w:p>
    <w:p w14:paraId="347565F6">
      <w:pPr>
        <w:pStyle w:val="18"/>
        <w:snapToGrid w:val="0"/>
        <w:spacing w:before="156" w:beforeLines="50" w:line="380" w:lineRule="exact"/>
        <w:ind w:firstLine="200"/>
        <w:rPr>
          <w:rFonts w:hint="eastAsia" w:ascii="宋体" w:hAnsi="宋体" w:cs="宋体"/>
          <w:color w:val="auto"/>
          <w:sz w:val="21"/>
          <w:szCs w:val="21"/>
          <w:highlight w:val="none"/>
        </w:rPr>
      </w:pPr>
    </w:p>
    <w:p w14:paraId="0F18D207">
      <w:pPr>
        <w:snapToGrid w:val="0"/>
        <w:spacing w:before="156" w:beforeLines="50" w:line="380" w:lineRule="exact"/>
        <w:ind w:right="480" w:firstLine="4792" w:firstLineChars="2282"/>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51CE813D">
      <w:pPr>
        <w:snapToGrid w:val="0"/>
        <w:spacing w:before="156" w:beforeLines="50" w:after="50" w:line="380" w:lineRule="exact"/>
        <w:ind w:right="480"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72858097">
      <w:pPr>
        <w:snapToGrid w:val="0"/>
        <w:spacing w:before="156" w:beforeLines="50" w:after="50" w:line="380" w:lineRule="exact"/>
        <w:ind w:right="480"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647F89B">
      <w:pPr>
        <w:spacing w:line="520" w:lineRule="exact"/>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bookmarkStart w:id="41" w:name="_Hlk185949326"/>
      <w:bookmarkStart w:id="42" w:name="_Hlk185949308"/>
      <w:r>
        <w:rPr>
          <w:rFonts w:hint="eastAsia" w:ascii="宋体" w:hAnsi="宋体" w:cs="宋体"/>
          <w:b/>
          <w:color w:val="auto"/>
          <w:sz w:val="32"/>
          <w:szCs w:val="32"/>
          <w:highlight w:val="none"/>
        </w:rPr>
        <w:t>无围标串标行为的承诺函</w:t>
      </w:r>
    </w:p>
    <w:bookmarkEnd w:id="41"/>
    <w:p w14:paraId="37D186D4">
      <w:pPr>
        <w:spacing w:line="440" w:lineRule="exact"/>
        <w:contextualSpacing/>
        <w:jc w:val="left"/>
        <w:rPr>
          <w:rFonts w:ascii="宋体" w:hAnsi="宋体"/>
          <w:b/>
          <w:color w:val="auto"/>
          <w:szCs w:val="21"/>
          <w:highlight w:val="none"/>
        </w:rPr>
      </w:pPr>
    </w:p>
    <w:p w14:paraId="53C873D6">
      <w:pPr>
        <w:spacing w:line="440" w:lineRule="exact"/>
        <w:contextualSpacing/>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一、我方承诺无下列相互串通竞标的情形：</w:t>
      </w:r>
    </w:p>
    <w:p w14:paraId="6D9E973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3D07F06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0D1CF8AC">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4BBA2037">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22FA8889">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7DA1DF7B">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0A8B06BE">
      <w:pPr>
        <w:spacing w:line="440" w:lineRule="exact"/>
        <w:contextualSpacing/>
        <w:jc w:val="left"/>
        <w:rPr>
          <w:rFonts w:hint="eastAsia" w:ascii="宋体" w:hAnsi="宋体"/>
          <w:b/>
          <w:color w:val="auto"/>
          <w:szCs w:val="21"/>
          <w:highlight w:val="none"/>
        </w:rPr>
      </w:pPr>
      <w:r>
        <w:rPr>
          <w:rFonts w:hint="eastAsia" w:ascii="宋体" w:hAnsi="宋体"/>
          <w:b/>
          <w:color w:val="auto"/>
          <w:szCs w:val="21"/>
          <w:highlight w:val="none"/>
        </w:rPr>
        <w:t>二、我方承诺无下列恶意串通的情形：</w:t>
      </w:r>
    </w:p>
    <w:p w14:paraId="3D4D7448">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222EBABF">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2701017E">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36DB82B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4.属于同一集团、协会、商会等组织成员的供应商按照该组织要求协同参加采购活动；</w:t>
      </w:r>
    </w:p>
    <w:p w14:paraId="5BBB8DDA">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5.供应商之间事先约定一致抬高或者压低竞标报价，或者在招标采购项目中事先约定轮流以高价位或者低价位中标，或者事先约定由某一特定供应商中标（成交），然后再参加竞标；</w:t>
      </w:r>
    </w:p>
    <w:p w14:paraId="1CF45F40">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6.供应商之间商定部分供应商放弃参加政府采购活动或者放弃中标（成交）；</w:t>
      </w:r>
    </w:p>
    <w:p w14:paraId="4E9A844A">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7.供应商与采购人或者采购代理机构之间、供应商相互之间，为谋求特定供应商中标（成交）或者排斥其他供应商的其他串通行为。</w:t>
      </w:r>
    </w:p>
    <w:p w14:paraId="202708AA">
      <w:pPr>
        <w:spacing w:line="440" w:lineRule="exact"/>
        <w:ind w:firstLine="211" w:firstLineChars="100"/>
        <w:contextualSpacing/>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6E980A5A">
      <w:pPr>
        <w:spacing w:line="440" w:lineRule="exact"/>
        <w:ind w:firstLine="211" w:firstLineChars="100"/>
        <w:contextualSpacing/>
        <w:jc w:val="left"/>
        <w:rPr>
          <w:rFonts w:hint="eastAsia" w:ascii="宋体" w:hAnsi="宋体"/>
          <w:b/>
          <w:color w:val="auto"/>
          <w:szCs w:val="21"/>
          <w:highlight w:val="none"/>
        </w:rPr>
      </w:pPr>
    </w:p>
    <w:p w14:paraId="02267E5F">
      <w:pPr>
        <w:spacing w:line="440" w:lineRule="exact"/>
        <w:ind w:firstLine="4609" w:firstLineChars="2195"/>
        <w:contextualSpacing/>
        <w:jc w:val="left"/>
        <w:rPr>
          <w:rFonts w:hint="eastAsia" w:ascii="宋体" w:hAnsi="宋体"/>
          <w:color w:val="auto"/>
          <w:szCs w:val="21"/>
          <w:highlight w:val="none"/>
          <w:u w:val="single"/>
        </w:rPr>
      </w:pPr>
      <w:r>
        <w:rPr>
          <w:rFonts w:hint="eastAsia" w:ascii="宋体" w:hAnsi="宋体"/>
          <w:color w:val="auto"/>
          <w:szCs w:val="21"/>
          <w:highlight w:val="none"/>
        </w:rPr>
        <w:t>法定代表人或者委托代理人（签字）：</w:t>
      </w:r>
      <w:r>
        <w:rPr>
          <w:rFonts w:hint="eastAsia" w:ascii="宋体" w:hAnsi="宋体"/>
          <w:color w:val="auto"/>
          <w:szCs w:val="21"/>
          <w:highlight w:val="none"/>
          <w:u w:val="single"/>
        </w:rPr>
        <w:t xml:space="preserve">             </w:t>
      </w:r>
    </w:p>
    <w:p w14:paraId="2D029124">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1ECEE925">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2"/>
    </w:p>
    <w:p w14:paraId="51229509">
      <w:pPr>
        <w:adjustRightInd w:val="0"/>
        <w:snapToGrid w:val="0"/>
        <w:spacing w:line="50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附件三 </w:t>
      </w:r>
    </w:p>
    <w:p w14:paraId="5846ADB1">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商务、技术（服务）响应、偏离情况说明表</w:t>
      </w:r>
    </w:p>
    <w:p w14:paraId="3CC325A9">
      <w:pPr>
        <w:spacing w:line="300" w:lineRule="auto"/>
        <w:rPr>
          <w:rFonts w:hint="eastAsia" w:ascii="宋体" w:hAnsi="宋体" w:cs="宋体"/>
          <w:color w:val="auto"/>
          <w:szCs w:val="21"/>
          <w:highlight w:val="none"/>
        </w:rPr>
      </w:pPr>
    </w:p>
    <w:p w14:paraId="69F81AE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32A528C2">
      <w:pPr>
        <w:spacing w:line="500" w:lineRule="exact"/>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98701C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1DA01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20FBCDC9">
            <w:pPr>
              <w:jc w:val="center"/>
              <w:rPr>
                <w:rFonts w:hint="eastAsia" w:ascii="宋体" w:hAnsi="宋体" w:cs="宋体"/>
                <w:color w:val="auto"/>
                <w:highlight w:val="none"/>
              </w:rPr>
            </w:pPr>
            <w:bookmarkStart w:id="43" w:name="_Toc254970588"/>
            <w:bookmarkStart w:id="44" w:name="_Toc254970729"/>
            <w:bookmarkStart w:id="45" w:name="_Toc173211900"/>
            <w:bookmarkStart w:id="46" w:name="_Toc173066401"/>
            <w:r>
              <w:rPr>
                <w:rFonts w:hint="eastAsia" w:ascii="宋体" w:hAnsi="宋体" w:cs="宋体"/>
                <w:color w:val="auto"/>
                <w:highlight w:val="none"/>
              </w:rPr>
              <w:t>序号</w:t>
            </w:r>
            <w:bookmarkEnd w:id="43"/>
            <w:bookmarkEnd w:id="44"/>
            <w:bookmarkEnd w:id="45"/>
            <w:bookmarkEnd w:id="46"/>
          </w:p>
        </w:tc>
        <w:tc>
          <w:tcPr>
            <w:tcW w:w="3013" w:type="dxa"/>
            <w:vAlign w:val="center"/>
          </w:tcPr>
          <w:p w14:paraId="51D0AF4D">
            <w:pPr>
              <w:jc w:val="center"/>
              <w:rPr>
                <w:rFonts w:hint="eastAsia" w:ascii="宋体" w:hAnsi="宋体" w:cs="宋体"/>
                <w:color w:val="auto"/>
                <w:highlight w:val="none"/>
              </w:rPr>
            </w:pPr>
            <w:bookmarkStart w:id="47" w:name="_Toc173211901"/>
            <w:bookmarkStart w:id="48" w:name="_Toc254970589"/>
            <w:bookmarkStart w:id="49" w:name="_Toc173066402"/>
            <w:bookmarkStart w:id="50" w:name="_Toc254970730"/>
            <w:r>
              <w:rPr>
                <w:rFonts w:hint="eastAsia" w:ascii="宋体" w:hAnsi="宋体" w:cs="宋体"/>
                <w:color w:val="auto"/>
                <w:highlight w:val="none"/>
              </w:rPr>
              <w:t>竞争性磋商文件要求</w:t>
            </w:r>
            <w:bookmarkEnd w:id="47"/>
            <w:bookmarkEnd w:id="48"/>
            <w:bookmarkEnd w:id="49"/>
            <w:bookmarkEnd w:id="50"/>
          </w:p>
        </w:tc>
        <w:tc>
          <w:tcPr>
            <w:tcW w:w="3159" w:type="dxa"/>
            <w:vAlign w:val="center"/>
          </w:tcPr>
          <w:p w14:paraId="052560E6">
            <w:pPr>
              <w:jc w:val="center"/>
              <w:rPr>
                <w:rFonts w:hint="eastAsia" w:ascii="宋体" w:hAnsi="宋体" w:cs="宋体"/>
                <w:color w:val="auto"/>
                <w:highlight w:val="none"/>
              </w:rPr>
            </w:pPr>
            <w:bookmarkStart w:id="51" w:name="_Toc173066403"/>
            <w:bookmarkStart w:id="52" w:name="_Toc254970731"/>
            <w:bookmarkStart w:id="53" w:name="_Toc173211902"/>
            <w:bookmarkStart w:id="54" w:name="_Toc254970590"/>
            <w:r>
              <w:rPr>
                <w:rFonts w:hint="eastAsia" w:ascii="宋体" w:hAnsi="宋体" w:cs="宋体"/>
                <w:color w:val="auto"/>
                <w:highlight w:val="none"/>
              </w:rPr>
              <w:t>竞争性磋商响应文件具体响应</w:t>
            </w:r>
            <w:bookmarkEnd w:id="51"/>
            <w:bookmarkEnd w:id="52"/>
            <w:bookmarkEnd w:id="53"/>
            <w:bookmarkEnd w:id="54"/>
          </w:p>
        </w:tc>
        <w:tc>
          <w:tcPr>
            <w:tcW w:w="1571" w:type="dxa"/>
            <w:vAlign w:val="center"/>
          </w:tcPr>
          <w:p w14:paraId="0232757C">
            <w:pPr>
              <w:jc w:val="center"/>
              <w:rPr>
                <w:rFonts w:hint="eastAsia" w:ascii="宋体" w:hAnsi="宋体" w:cs="宋体"/>
                <w:color w:val="auto"/>
                <w:highlight w:val="none"/>
              </w:rPr>
            </w:pPr>
            <w:bookmarkStart w:id="55" w:name="_Toc254970591"/>
            <w:bookmarkStart w:id="56" w:name="_Toc254970732"/>
            <w:bookmarkStart w:id="57" w:name="_Toc173066404"/>
            <w:bookmarkStart w:id="58" w:name="_Toc173211903"/>
            <w:r>
              <w:rPr>
                <w:rFonts w:hint="eastAsia" w:ascii="宋体" w:hAnsi="宋体" w:cs="宋体"/>
                <w:color w:val="auto"/>
                <w:highlight w:val="none"/>
              </w:rPr>
              <w:t>响应/偏离</w:t>
            </w:r>
            <w:bookmarkEnd w:id="55"/>
            <w:bookmarkEnd w:id="56"/>
            <w:bookmarkEnd w:id="57"/>
            <w:bookmarkEnd w:id="58"/>
          </w:p>
        </w:tc>
        <w:tc>
          <w:tcPr>
            <w:tcW w:w="1460" w:type="dxa"/>
            <w:vAlign w:val="center"/>
          </w:tcPr>
          <w:p w14:paraId="3BCCEB56">
            <w:pPr>
              <w:jc w:val="center"/>
              <w:rPr>
                <w:rFonts w:hint="eastAsia" w:ascii="宋体" w:hAnsi="宋体" w:cs="宋体"/>
                <w:color w:val="auto"/>
                <w:highlight w:val="none"/>
              </w:rPr>
            </w:pPr>
            <w:bookmarkStart w:id="59" w:name="_Toc254970733"/>
            <w:bookmarkStart w:id="60" w:name="_Toc254970592"/>
            <w:bookmarkStart w:id="61" w:name="_Toc173211904"/>
            <w:bookmarkStart w:id="62" w:name="_Toc173066405"/>
            <w:r>
              <w:rPr>
                <w:rFonts w:hint="eastAsia" w:ascii="宋体" w:hAnsi="宋体" w:cs="宋体"/>
                <w:color w:val="auto"/>
                <w:highlight w:val="none"/>
              </w:rPr>
              <w:t>说明</w:t>
            </w:r>
            <w:bookmarkEnd w:id="59"/>
            <w:bookmarkEnd w:id="60"/>
            <w:bookmarkEnd w:id="61"/>
            <w:bookmarkEnd w:id="62"/>
          </w:p>
        </w:tc>
      </w:tr>
      <w:tr w14:paraId="0B734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55618123">
            <w:pPr>
              <w:jc w:val="center"/>
              <w:rPr>
                <w:rFonts w:hint="eastAsia" w:ascii="宋体" w:hAnsi="宋体" w:cs="宋体"/>
                <w:color w:val="auto"/>
                <w:highlight w:val="none"/>
              </w:rPr>
            </w:pPr>
            <w:bookmarkStart w:id="63" w:name="_Toc476258666"/>
            <w:r>
              <w:rPr>
                <w:rFonts w:hint="eastAsia" w:ascii="宋体" w:hAnsi="宋体" w:cs="宋体"/>
                <w:color w:val="auto"/>
                <w:highlight w:val="none"/>
              </w:rPr>
              <w:t>商务部分</w:t>
            </w:r>
            <w:bookmarkEnd w:id="63"/>
          </w:p>
        </w:tc>
      </w:tr>
      <w:tr w14:paraId="1B804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5B37CF0D">
            <w:pPr>
              <w:jc w:val="center"/>
              <w:rPr>
                <w:rFonts w:hint="eastAsia" w:ascii="宋体" w:hAnsi="宋体" w:cs="宋体"/>
                <w:color w:val="auto"/>
                <w:highlight w:val="none"/>
              </w:rPr>
            </w:pPr>
            <w:bookmarkStart w:id="64" w:name="_Toc254970734"/>
            <w:bookmarkStart w:id="65" w:name="_Toc173211905"/>
            <w:bookmarkStart w:id="66" w:name="_Toc254970593"/>
            <w:bookmarkStart w:id="67" w:name="_Toc173066406"/>
            <w:r>
              <w:rPr>
                <w:rFonts w:hint="eastAsia" w:ascii="宋体" w:hAnsi="宋体" w:cs="宋体"/>
                <w:color w:val="auto"/>
                <w:highlight w:val="none"/>
              </w:rPr>
              <w:t>1</w:t>
            </w:r>
            <w:bookmarkEnd w:id="64"/>
            <w:bookmarkEnd w:id="65"/>
            <w:bookmarkEnd w:id="66"/>
            <w:bookmarkEnd w:id="67"/>
          </w:p>
        </w:tc>
        <w:tc>
          <w:tcPr>
            <w:tcW w:w="3013" w:type="dxa"/>
            <w:vAlign w:val="center"/>
          </w:tcPr>
          <w:p w14:paraId="43562B6D">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36E58447">
            <w:pPr>
              <w:rPr>
                <w:rFonts w:hint="eastAsia" w:ascii="宋体" w:hAnsi="宋体" w:cs="宋体"/>
                <w:color w:val="auto"/>
                <w:highlight w:val="none"/>
              </w:rPr>
            </w:pPr>
          </w:p>
        </w:tc>
        <w:tc>
          <w:tcPr>
            <w:tcW w:w="1571" w:type="dxa"/>
            <w:vAlign w:val="center"/>
          </w:tcPr>
          <w:p w14:paraId="2BDC7D56">
            <w:pPr>
              <w:jc w:val="center"/>
              <w:rPr>
                <w:rFonts w:hint="eastAsia" w:ascii="宋体" w:hAnsi="宋体" w:cs="宋体"/>
                <w:color w:val="auto"/>
                <w:highlight w:val="none"/>
              </w:rPr>
            </w:pPr>
          </w:p>
        </w:tc>
        <w:tc>
          <w:tcPr>
            <w:tcW w:w="1460" w:type="dxa"/>
            <w:vAlign w:val="center"/>
          </w:tcPr>
          <w:p w14:paraId="51068AC9">
            <w:pPr>
              <w:jc w:val="center"/>
              <w:rPr>
                <w:rFonts w:hint="eastAsia" w:ascii="宋体" w:hAnsi="宋体" w:cs="宋体"/>
                <w:color w:val="auto"/>
                <w:highlight w:val="none"/>
              </w:rPr>
            </w:pPr>
          </w:p>
        </w:tc>
      </w:tr>
      <w:tr w14:paraId="1E0706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60D1773">
            <w:pPr>
              <w:jc w:val="center"/>
              <w:rPr>
                <w:rFonts w:hint="eastAsia" w:ascii="宋体" w:hAnsi="宋体" w:cs="宋体"/>
                <w:color w:val="auto"/>
                <w:highlight w:val="none"/>
              </w:rPr>
            </w:pPr>
            <w:bookmarkStart w:id="68" w:name="_Toc254970594"/>
            <w:bookmarkStart w:id="69" w:name="_Toc254970735"/>
            <w:bookmarkStart w:id="70" w:name="_Toc173211906"/>
            <w:bookmarkStart w:id="71" w:name="_Toc173066407"/>
            <w:r>
              <w:rPr>
                <w:rFonts w:hint="eastAsia" w:ascii="宋体" w:hAnsi="宋体" w:cs="宋体"/>
                <w:color w:val="auto"/>
                <w:highlight w:val="none"/>
              </w:rPr>
              <w:t>2</w:t>
            </w:r>
            <w:bookmarkEnd w:id="68"/>
            <w:bookmarkEnd w:id="69"/>
            <w:bookmarkEnd w:id="70"/>
            <w:bookmarkEnd w:id="71"/>
          </w:p>
        </w:tc>
        <w:tc>
          <w:tcPr>
            <w:tcW w:w="3013" w:type="dxa"/>
            <w:vAlign w:val="center"/>
          </w:tcPr>
          <w:p w14:paraId="00F9AC4D">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02B19444">
            <w:pPr>
              <w:rPr>
                <w:rFonts w:hint="eastAsia" w:ascii="宋体" w:hAnsi="宋体" w:cs="宋体"/>
                <w:color w:val="auto"/>
                <w:highlight w:val="none"/>
              </w:rPr>
            </w:pPr>
          </w:p>
        </w:tc>
        <w:tc>
          <w:tcPr>
            <w:tcW w:w="1571" w:type="dxa"/>
            <w:vAlign w:val="center"/>
          </w:tcPr>
          <w:p w14:paraId="02E96BAC">
            <w:pPr>
              <w:jc w:val="center"/>
              <w:rPr>
                <w:rFonts w:hint="eastAsia" w:ascii="宋体" w:hAnsi="宋体" w:cs="宋体"/>
                <w:color w:val="auto"/>
                <w:highlight w:val="none"/>
              </w:rPr>
            </w:pPr>
          </w:p>
        </w:tc>
        <w:tc>
          <w:tcPr>
            <w:tcW w:w="1460" w:type="dxa"/>
            <w:vAlign w:val="center"/>
          </w:tcPr>
          <w:p w14:paraId="3FACDDCA">
            <w:pPr>
              <w:jc w:val="center"/>
              <w:rPr>
                <w:rFonts w:hint="eastAsia" w:ascii="宋体" w:hAnsi="宋体" w:cs="宋体"/>
                <w:color w:val="auto"/>
                <w:highlight w:val="none"/>
              </w:rPr>
            </w:pPr>
          </w:p>
        </w:tc>
      </w:tr>
      <w:tr w14:paraId="366CF8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467F488">
            <w:pPr>
              <w:jc w:val="center"/>
              <w:rPr>
                <w:rFonts w:hint="eastAsia" w:ascii="宋体" w:hAnsi="宋体" w:cs="宋体"/>
                <w:color w:val="auto"/>
                <w:highlight w:val="none"/>
              </w:rPr>
            </w:pPr>
            <w:bookmarkStart w:id="72" w:name="_Toc173066408"/>
            <w:bookmarkStart w:id="73" w:name="_Toc254970595"/>
            <w:bookmarkStart w:id="74" w:name="_Toc254970736"/>
            <w:bookmarkStart w:id="75" w:name="_Toc173211907"/>
            <w:r>
              <w:rPr>
                <w:rFonts w:hint="eastAsia" w:ascii="宋体" w:hAnsi="宋体" w:cs="宋体"/>
                <w:color w:val="auto"/>
                <w:highlight w:val="none"/>
              </w:rPr>
              <w:t>3</w:t>
            </w:r>
            <w:bookmarkEnd w:id="72"/>
            <w:bookmarkEnd w:id="73"/>
            <w:bookmarkEnd w:id="74"/>
            <w:bookmarkEnd w:id="75"/>
          </w:p>
        </w:tc>
        <w:tc>
          <w:tcPr>
            <w:tcW w:w="3013" w:type="dxa"/>
            <w:vAlign w:val="center"/>
          </w:tcPr>
          <w:p w14:paraId="2A230F77">
            <w:pPr>
              <w:spacing w:line="400" w:lineRule="exact"/>
              <w:jc w:val="center"/>
              <w:rPr>
                <w:rFonts w:hint="eastAsia" w:ascii="宋体" w:hAnsi="宋体" w:cs="宋体"/>
                <w:color w:val="auto"/>
                <w:szCs w:val="21"/>
                <w:highlight w:val="none"/>
              </w:rPr>
            </w:pPr>
          </w:p>
        </w:tc>
        <w:tc>
          <w:tcPr>
            <w:tcW w:w="3159" w:type="dxa"/>
            <w:vAlign w:val="top"/>
          </w:tcPr>
          <w:p w14:paraId="7DCD6DEF">
            <w:pPr>
              <w:rPr>
                <w:rFonts w:hint="eastAsia" w:ascii="宋体" w:hAnsi="宋体" w:cs="宋体"/>
                <w:color w:val="auto"/>
                <w:highlight w:val="none"/>
              </w:rPr>
            </w:pPr>
          </w:p>
        </w:tc>
        <w:tc>
          <w:tcPr>
            <w:tcW w:w="1571" w:type="dxa"/>
            <w:vAlign w:val="center"/>
          </w:tcPr>
          <w:p w14:paraId="0E86ED97">
            <w:pPr>
              <w:jc w:val="center"/>
              <w:rPr>
                <w:rFonts w:hint="eastAsia" w:ascii="宋体" w:hAnsi="宋体" w:cs="宋体"/>
                <w:color w:val="auto"/>
                <w:highlight w:val="none"/>
              </w:rPr>
            </w:pPr>
          </w:p>
        </w:tc>
        <w:tc>
          <w:tcPr>
            <w:tcW w:w="1460" w:type="dxa"/>
            <w:vAlign w:val="center"/>
          </w:tcPr>
          <w:p w14:paraId="3A9553A0">
            <w:pPr>
              <w:jc w:val="center"/>
              <w:rPr>
                <w:rFonts w:hint="eastAsia" w:ascii="宋体" w:hAnsi="宋体" w:cs="宋体"/>
                <w:color w:val="auto"/>
                <w:highlight w:val="none"/>
              </w:rPr>
            </w:pPr>
          </w:p>
        </w:tc>
      </w:tr>
      <w:tr w14:paraId="4CB2E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3AE4E09">
            <w:pPr>
              <w:jc w:val="center"/>
              <w:rPr>
                <w:rFonts w:hint="eastAsia" w:ascii="宋体" w:hAnsi="宋体" w:cs="宋体"/>
                <w:color w:val="auto"/>
                <w:highlight w:val="none"/>
              </w:rPr>
            </w:pPr>
            <w:r>
              <w:rPr>
                <w:rFonts w:hint="eastAsia" w:ascii="宋体" w:hAnsi="宋体" w:cs="宋体"/>
                <w:color w:val="auto"/>
                <w:highlight w:val="none"/>
              </w:rPr>
              <w:t>4</w:t>
            </w:r>
          </w:p>
        </w:tc>
        <w:tc>
          <w:tcPr>
            <w:tcW w:w="3013" w:type="dxa"/>
            <w:vAlign w:val="center"/>
          </w:tcPr>
          <w:p w14:paraId="576E18CC">
            <w:pPr>
              <w:jc w:val="center"/>
              <w:rPr>
                <w:rFonts w:hint="eastAsia" w:ascii="宋体" w:hAnsi="宋体" w:cs="宋体"/>
                <w:color w:val="auto"/>
                <w:szCs w:val="21"/>
                <w:highlight w:val="none"/>
              </w:rPr>
            </w:pPr>
          </w:p>
        </w:tc>
        <w:tc>
          <w:tcPr>
            <w:tcW w:w="3159" w:type="dxa"/>
            <w:vAlign w:val="top"/>
          </w:tcPr>
          <w:p w14:paraId="28783633">
            <w:pPr>
              <w:rPr>
                <w:rFonts w:hint="eastAsia" w:ascii="宋体" w:hAnsi="宋体" w:cs="宋体"/>
                <w:color w:val="auto"/>
                <w:highlight w:val="none"/>
              </w:rPr>
            </w:pPr>
          </w:p>
        </w:tc>
        <w:tc>
          <w:tcPr>
            <w:tcW w:w="1571" w:type="dxa"/>
            <w:vAlign w:val="center"/>
          </w:tcPr>
          <w:p w14:paraId="377E07CD">
            <w:pPr>
              <w:jc w:val="center"/>
              <w:rPr>
                <w:rFonts w:hint="eastAsia" w:ascii="宋体" w:hAnsi="宋体" w:cs="宋体"/>
                <w:color w:val="auto"/>
                <w:highlight w:val="none"/>
              </w:rPr>
            </w:pPr>
          </w:p>
        </w:tc>
        <w:tc>
          <w:tcPr>
            <w:tcW w:w="1460" w:type="dxa"/>
            <w:vAlign w:val="center"/>
          </w:tcPr>
          <w:p w14:paraId="444BBEE3">
            <w:pPr>
              <w:jc w:val="center"/>
              <w:rPr>
                <w:rFonts w:hint="eastAsia" w:ascii="宋体" w:hAnsi="宋体" w:cs="宋体"/>
                <w:color w:val="auto"/>
                <w:highlight w:val="none"/>
              </w:rPr>
            </w:pPr>
          </w:p>
        </w:tc>
      </w:tr>
      <w:tr w14:paraId="5F183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5A7A312">
            <w:pPr>
              <w:jc w:val="center"/>
              <w:rPr>
                <w:rFonts w:hint="eastAsia" w:ascii="宋体" w:hAnsi="宋体" w:cs="宋体"/>
                <w:color w:val="auto"/>
                <w:highlight w:val="none"/>
              </w:rPr>
            </w:pPr>
            <w:r>
              <w:rPr>
                <w:rFonts w:hint="eastAsia" w:ascii="宋体" w:hAnsi="宋体" w:cs="宋体"/>
                <w:color w:val="auto"/>
                <w:highlight w:val="none"/>
              </w:rPr>
              <w:t>5</w:t>
            </w:r>
          </w:p>
        </w:tc>
        <w:tc>
          <w:tcPr>
            <w:tcW w:w="3013" w:type="dxa"/>
            <w:vAlign w:val="center"/>
          </w:tcPr>
          <w:p w14:paraId="6DADAE8F">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1A0417E5">
            <w:pPr>
              <w:rPr>
                <w:rFonts w:hint="eastAsia" w:ascii="宋体" w:hAnsi="宋体" w:cs="宋体"/>
                <w:color w:val="auto"/>
                <w:highlight w:val="none"/>
              </w:rPr>
            </w:pPr>
          </w:p>
        </w:tc>
        <w:tc>
          <w:tcPr>
            <w:tcW w:w="1571" w:type="dxa"/>
            <w:vAlign w:val="center"/>
          </w:tcPr>
          <w:p w14:paraId="29BD822D">
            <w:pPr>
              <w:jc w:val="center"/>
              <w:rPr>
                <w:rFonts w:hint="eastAsia" w:ascii="宋体" w:hAnsi="宋体" w:cs="宋体"/>
                <w:color w:val="auto"/>
                <w:highlight w:val="none"/>
              </w:rPr>
            </w:pPr>
          </w:p>
        </w:tc>
        <w:tc>
          <w:tcPr>
            <w:tcW w:w="1460" w:type="dxa"/>
            <w:vAlign w:val="center"/>
          </w:tcPr>
          <w:p w14:paraId="74275629">
            <w:pPr>
              <w:jc w:val="center"/>
              <w:rPr>
                <w:rFonts w:hint="eastAsia" w:ascii="宋体" w:hAnsi="宋体" w:cs="宋体"/>
                <w:color w:val="auto"/>
                <w:highlight w:val="none"/>
              </w:rPr>
            </w:pPr>
          </w:p>
        </w:tc>
      </w:tr>
      <w:tr w14:paraId="0C7377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557EF4D">
            <w:pPr>
              <w:jc w:val="center"/>
              <w:rPr>
                <w:rFonts w:hint="eastAsia" w:ascii="宋体" w:hAnsi="宋体" w:cs="宋体"/>
                <w:color w:val="auto"/>
                <w:highlight w:val="none"/>
              </w:rPr>
            </w:pPr>
            <w:r>
              <w:rPr>
                <w:rFonts w:hint="eastAsia" w:ascii="宋体" w:hAnsi="宋体" w:cs="宋体"/>
                <w:color w:val="auto"/>
                <w:highlight w:val="none"/>
              </w:rPr>
              <w:t>…</w:t>
            </w:r>
          </w:p>
        </w:tc>
        <w:tc>
          <w:tcPr>
            <w:tcW w:w="3013" w:type="dxa"/>
            <w:vAlign w:val="center"/>
          </w:tcPr>
          <w:p w14:paraId="02F4228B">
            <w:pPr>
              <w:jc w:val="center"/>
              <w:rPr>
                <w:rFonts w:hint="eastAsia" w:ascii="宋体" w:hAnsi="宋体" w:cs="宋体"/>
                <w:color w:val="auto"/>
                <w:highlight w:val="none"/>
              </w:rPr>
            </w:pPr>
          </w:p>
        </w:tc>
        <w:tc>
          <w:tcPr>
            <w:tcW w:w="3159" w:type="dxa"/>
            <w:vAlign w:val="top"/>
          </w:tcPr>
          <w:p w14:paraId="0152C2D1">
            <w:pPr>
              <w:rPr>
                <w:rFonts w:hint="eastAsia" w:ascii="宋体" w:hAnsi="宋体" w:cs="宋体"/>
                <w:color w:val="auto"/>
                <w:highlight w:val="none"/>
              </w:rPr>
            </w:pPr>
          </w:p>
        </w:tc>
        <w:tc>
          <w:tcPr>
            <w:tcW w:w="1571" w:type="dxa"/>
            <w:vAlign w:val="center"/>
          </w:tcPr>
          <w:p w14:paraId="3173F248">
            <w:pPr>
              <w:jc w:val="center"/>
              <w:rPr>
                <w:rFonts w:hint="eastAsia" w:ascii="宋体" w:hAnsi="宋体" w:cs="宋体"/>
                <w:color w:val="auto"/>
                <w:highlight w:val="none"/>
              </w:rPr>
            </w:pPr>
          </w:p>
        </w:tc>
        <w:tc>
          <w:tcPr>
            <w:tcW w:w="1460" w:type="dxa"/>
            <w:vAlign w:val="center"/>
          </w:tcPr>
          <w:p w14:paraId="1DE97ED7">
            <w:pPr>
              <w:jc w:val="center"/>
              <w:rPr>
                <w:rFonts w:hint="eastAsia" w:ascii="宋体" w:hAnsi="宋体" w:cs="宋体"/>
                <w:color w:val="auto"/>
                <w:highlight w:val="none"/>
              </w:rPr>
            </w:pPr>
          </w:p>
        </w:tc>
      </w:tr>
      <w:tr w14:paraId="4EA8E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254B7E3A">
            <w:pPr>
              <w:jc w:val="center"/>
              <w:rPr>
                <w:rFonts w:hint="eastAsia" w:ascii="宋体" w:hAnsi="宋体" w:cs="宋体"/>
                <w:color w:val="auto"/>
                <w:highlight w:val="none"/>
              </w:rPr>
            </w:pPr>
            <w:bookmarkStart w:id="76" w:name="_Toc476258667"/>
            <w:r>
              <w:rPr>
                <w:rFonts w:hint="eastAsia" w:ascii="宋体" w:hAnsi="宋体" w:cs="宋体"/>
                <w:color w:val="auto"/>
                <w:highlight w:val="none"/>
              </w:rPr>
              <w:t>服务（技术）部分</w:t>
            </w:r>
            <w:bookmarkEnd w:id="76"/>
          </w:p>
        </w:tc>
      </w:tr>
      <w:tr w14:paraId="10C86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3271A33">
            <w:pPr>
              <w:jc w:val="center"/>
              <w:rPr>
                <w:rFonts w:hint="eastAsia" w:ascii="宋体" w:hAnsi="宋体" w:cs="宋体"/>
                <w:color w:val="auto"/>
                <w:highlight w:val="none"/>
              </w:rPr>
            </w:pPr>
            <w:bookmarkStart w:id="77" w:name="_Toc476258668"/>
            <w:r>
              <w:rPr>
                <w:rFonts w:hint="eastAsia" w:ascii="宋体" w:hAnsi="宋体" w:cs="宋体"/>
                <w:color w:val="auto"/>
                <w:highlight w:val="none"/>
              </w:rPr>
              <w:t>1</w:t>
            </w:r>
            <w:bookmarkEnd w:id="77"/>
          </w:p>
        </w:tc>
        <w:tc>
          <w:tcPr>
            <w:tcW w:w="3013" w:type="dxa"/>
            <w:vAlign w:val="center"/>
          </w:tcPr>
          <w:p w14:paraId="0EF209C2">
            <w:pPr>
              <w:rPr>
                <w:rFonts w:hint="eastAsia" w:ascii="宋体" w:hAnsi="宋体" w:cs="宋体"/>
                <w:color w:val="auto"/>
                <w:highlight w:val="none"/>
              </w:rPr>
            </w:pPr>
          </w:p>
        </w:tc>
        <w:tc>
          <w:tcPr>
            <w:tcW w:w="3159" w:type="dxa"/>
            <w:vAlign w:val="center"/>
          </w:tcPr>
          <w:p w14:paraId="0AD87C71">
            <w:pPr>
              <w:rPr>
                <w:rFonts w:hint="eastAsia" w:ascii="宋体" w:hAnsi="宋体" w:cs="宋体"/>
                <w:color w:val="auto"/>
                <w:highlight w:val="none"/>
              </w:rPr>
            </w:pPr>
          </w:p>
        </w:tc>
        <w:tc>
          <w:tcPr>
            <w:tcW w:w="1571" w:type="dxa"/>
            <w:vAlign w:val="center"/>
          </w:tcPr>
          <w:p w14:paraId="6EC94C80">
            <w:pPr>
              <w:rPr>
                <w:rFonts w:hint="eastAsia" w:ascii="宋体" w:hAnsi="宋体" w:cs="宋体"/>
                <w:color w:val="auto"/>
                <w:highlight w:val="none"/>
              </w:rPr>
            </w:pPr>
          </w:p>
        </w:tc>
        <w:tc>
          <w:tcPr>
            <w:tcW w:w="1460" w:type="dxa"/>
            <w:vAlign w:val="center"/>
          </w:tcPr>
          <w:p w14:paraId="2CA7CE54">
            <w:pPr>
              <w:rPr>
                <w:rFonts w:hint="eastAsia" w:ascii="宋体" w:hAnsi="宋体" w:cs="宋体"/>
                <w:color w:val="auto"/>
                <w:highlight w:val="none"/>
              </w:rPr>
            </w:pPr>
          </w:p>
        </w:tc>
      </w:tr>
      <w:tr w14:paraId="42CF2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D38C1F5">
            <w:pPr>
              <w:jc w:val="center"/>
              <w:rPr>
                <w:rFonts w:hint="eastAsia" w:ascii="宋体" w:hAnsi="宋体" w:cs="宋体"/>
                <w:color w:val="auto"/>
                <w:highlight w:val="none"/>
              </w:rPr>
            </w:pPr>
            <w:bookmarkStart w:id="78" w:name="_Toc476258669"/>
            <w:r>
              <w:rPr>
                <w:rFonts w:hint="eastAsia" w:ascii="宋体" w:hAnsi="宋体" w:cs="宋体"/>
                <w:color w:val="auto"/>
                <w:highlight w:val="none"/>
              </w:rPr>
              <w:t>2</w:t>
            </w:r>
            <w:bookmarkEnd w:id="78"/>
          </w:p>
        </w:tc>
        <w:tc>
          <w:tcPr>
            <w:tcW w:w="3013" w:type="dxa"/>
            <w:vAlign w:val="center"/>
          </w:tcPr>
          <w:p w14:paraId="68E59554">
            <w:pPr>
              <w:rPr>
                <w:rFonts w:hint="eastAsia" w:ascii="宋体" w:hAnsi="宋体" w:cs="宋体"/>
                <w:color w:val="auto"/>
                <w:highlight w:val="none"/>
              </w:rPr>
            </w:pPr>
          </w:p>
        </w:tc>
        <w:tc>
          <w:tcPr>
            <w:tcW w:w="3159" w:type="dxa"/>
            <w:vAlign w:val="center"/>
          </w:tcPr>
          <w:p w14:paraId="3C82CC8A">
            <w:pPr>
              <w:rPr>
                <w:rFonts w:hint="eastAsia" w:ascii="宋体" w:hAnsi="宋体" w:cs="宋体"/>
                <w:color w:val="auto"/>
                <w:highlight w:val="none"/>
              </w:rPr>
            </w:pPr>
          </w:p>
        </w:tc>
        <w:tc>
          <w:tcPr>
            <w:tcW w:w="1571" w:type="dxa"/>
            <w:vAlign w:val="center"/>
          </w:tcPr>
          <w:p w14:paraId="1C637D85">
            <w:pPr>
              <w:rPr>
                <w:rFonts w:hint="eastAsia" w:ascii="宋体" w:hAnsi="宋体" w:cs="宋体"/>
                <w:color w:val="auto"/>
                <w:highlight w:val="none"/>
              </w:rPr>
            </w:pPr>
          </w:p>
        </w:tc>
        <w:tc>
          <w:tcPr>
            <w:tcW w:w="1460" w:type="dxa"/>
            <w:vAlign w:val="center"/>
          </w:tcPr>
          <w:p w14:paraId="20D2E88C">
            <w:pPr>
              <w:rPr>
                <w:rFonts w:hint="eastAsia" w:ascii="宋体" w:hAnsi="宋体" w:cs="宋体"/>
                <w:color w:val="auto"/>
                <w:highlight w:val="none"/>
              </w:rPr>
            </w:pPr>
          </w:p>
        </w:tc>
      </w:tr>
      <w:tr w14:paraId="6055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58BC1BF">
            <w:pPr>
              <w:jc w:val="center"/>
              <w:rPr>
                <w:rFonts w:hint="eastAsia" w:ascii="宋体" w:hAnsi="宋体" w:cs="宋体"/>
                <w:color w:val="auto"/>
                <w:highlight w:val="none"/>
              </w:rPr>
            </w:pPr>
            <w:bookmarkStart w:id="79" w:name="_Toc476258670"/>
            <w:r>
              <w:rPr>
                <w:rFonts w:hint="eastAsia" w:ascii="宋体" w:hAnsi="宋体" w:cs="宋体"/>
                <w:color w:val="auto"/>
                <w:highlight w:val="none"/>
              </w:rPr>
              <w:t>3</w:t>
            </w:r>
            <w:bookmarkEnd w:id="79"/>
          </w:p>
        </w:tc>
        <w:tc>
          <w:tcPr>
            <w:tcW w:w="3013" w:type="dxa"/>
            <w:vAlign w:val="center"/>
          </w:tcPr>
          <w:p w14:paraId="16E8E5F7">
            <w:pPr>
              <w:rPr>
                <w:rFonts w:hint="eastAsia" w:ascii="宋体" w:hAnsi="宋体" w:cs="宋体"/>
                <w:color w:val="auto"/>
                <w:highlight w:val="none"/>
              </w:rPr>
            </w:pPr>
          </w:p>
        </w:tc>
        <w:tc>
          <w:tcPr>
            <w:tcW w:w="3159" w:type="dxa"/>
            <w:vAlign w:val="center"/>
          </w:tcPr>
          <w:p w14:paraId="6927BBBC">
            <w:pPr>
              <w:rPr>
                <w:rFonts w:hint="eastAsia" w:ascii="宋体" w:hAnsi="宋体" w:cs="宋体"/>
                <w:color w:val="auto"/>
                <w:highlight w:val="none"/>
              </w:rPr>
            </w:pPr>
          </w:p>
        </w:tc>
        <w:tc>
          <w:tcPr>
            <w:tcW w:w="1571" w:type="dxa"/>
            <w:vAlign w:val="center"/>
          </w:tcPr>
          <w:p w14:paraId="132DD3C9">
            <w:pPr>
              <w:rPr>
                <w:rFonts w:hint="eastAsia" w:ascii="宋体" w:hAnsi="宋体" w:cs="宋体"/>
                <w:color w:val="auto"/>
                <w:highlight w:val="none"/>
              </w:rPr>
            </w:pPr>
          </w:p>
        </w:tc>
        <w:tc>
          <w:tcPr>
            <w:tcW w:w="1460" w:type="dxa"/>
            <w:vAlign w:val="center"/>
          </w:tcPr>
          <w:p w14:paraId="1864478E">
            <w:pPr>
              <w:rPr>
                <w:rFonts w:hint="eastAsia" w:ascii="宋体" w:hAnsi="宋体" w:cs="宋体"/>
                <w:color w:val="auto"/>
                <w:highlight w:val="none"/>
              </w:rPr>
            </w:pPr>
          </w:p>
        </w:tc>
      </w:tr>
      <w:tr w14:paraId="166C6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6F5CA433">
            <w:pPr>
              <w:jc w:val="center"/>
              <w:rPr>
                <w:rFonts w:hint="eastAsia" w:ascii="宋体" w:hAnsi="宋体" w:cs="宋体"/>
                <w:color w:val="auto"/>
                <w:highlight w:val="none"/>
              </w:rPr>
            </w:pPr>
            <w:bookmarkStart w:id="80" w:name="_Toc476258671"/>
            <w:r>
              <w:rPr>
                <w:rFonts w:hint="eastAsia" w:ascii="宋体" w:hAnsi="宋体" w:cs="宋体"/>
                <w:color w:val="auto"/>
                <w:highlight w:val="none"/>
              </w:rPr>
              <w:t>…</w:t>
            </w:r>
            <w:bookmarkEnd w:id="80"/>
          </w:p>
        </w:tc>
        <w:tc>
          <w:tcPr>
            <w:tcW w:w="3013" w:type="dxa"/>
            <w:vAlign w:val="center"/>
          </w:tcPr>
          <w:p w14:paraId="3BCD8608">
            <w:pPr>
              <w:rPr>
                <w:rFonts w:hint="eastAsia" w:ascii="宋体" w:hAnsi="宋体" w:cs="宋体"/>
                <w:color w:val="auto"/>
                <w:highlight w:val="none"/>
              </w:rPr>
            </w:pPr>
          </w:p>
        </w:tc>
        <w:tc>
          <w:tcPr>
            <w:tcW w:w="3159" w:type="dxa"/>
            <w:vAlign w:val="center"/>
          </w:tcPr>
          <w:p w14:paraId="4D1835C0">
            <w:pPr>
              <w:rPr>
                <w:rFonts w:hint="eastAsia" w:ascii="宋体" w:hAnsi="宋体" w:cs="宋体"/>
                <w:color w:val="auto"/>
                <w:highlight w:val="none"/>
              </w:rPr>
            </w:pPr>
          </w:p>
        </w:tc>
        <w:tc>
          <w:tcPr>
            <w:tcW w:w="1571" w:type="dxa"/>
            <w:tcBorders>
              <w:right w:val="single" w:color="auto" w:sz="4" w:space="0"/>
            </w:tcBorders>
            <w:vAlign w:val="center"/>
          </w:tcPr>
          <w:p w14:paraId="2D636B3D">
            <w:pPr>
              <w:rPr>
                <w:rFonts w:hint="eastAsia" w:ascii="宋体" w:hAnsi="宋体" w:cs="宋体"/>
                <w:color w:val="auto"/>
                <w:highlight w:val="none"/>
              </w:rPr>
            </w:pPr>
          </w:p>
        </w:tc>
        <w:tc>
          <w:tcPr>
            <w:tcW w:w="1460" w:type="dxa"/>
            <w:tcBorders>
              <w:left w:val="single" w:color="auto" w:sz="4" w:space="0"/>
            </w:tcBorders>
            <w:vAlign w:val="center"/>
          </w:tcPr>
          <w:p w14:paraId="178C3984">
            <w:pPr>
              <w:rPr>
                <w:rFonts w:hint="eastAsia" w:ascii="宋体" w:hAnsi="宋体" w:cs="宋体"/>
                <w:color w:val="auto"/>
                <w:highlight w:val="none"/>
              </w:rPr>
            </w:pPr>
          </w:p>
        </w:tc>
      </w:tr>
    </w:tbl>
    <w:p w14:paraId="761F2850">
      <w:pPr>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1、应写明竞</w:t>
      </w:r>
      <w:r>
        <w:rPr>
          <w:rFonts w:hint="eastAsia" w:ascii="宋体" w:hAnsi="宋体" w:cs="宋体"/>
          <w:b/>
          <w:color w:val="auto"/>
          <w:szCs w:val="21"/>
          <w:highlight w:val="none"/>
        </w:rPr>
        <w:t>争性磋商响应文件对</w:t>
      </w:r>
      <w:r>
        <w:rPr>
          <w:rFonts w:hint="eastAsia" w:ascii="宋体" w:hAnsi="宋体" w:cs="宋体"/>
          <w:b/>
          <w:color w:val="auto"/>
          <w:highlight w:val="none"/>
        </w:rPr>
        <w:t>商务与技术要求的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23396936">
      <w:pPr>
        <w:pStyle w:val="4"/>
        <w:spacing w:line="360" w:lineRule="exact"/>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3773351B">
      <w:pPr>
        <w:pStyle w:val="7"/>
        <w:spacing w:line="360" w:lineRule="exact"/>
        <w:rPr>
          <w:rFonts w:hint="eastAsia" w:hAnsi="宋体" w:cs="宋体"/>
          <w:color w:val="auto"/>
          <w:highlight w:val="none"/>
        </w:rPr>
      </w:pPr>
    </w:p>
    <w:p w14:paraId="6353962B">
      <w:pPr>
        <w:bidi w:val="0"/>
        <w:rPr>
          <w:rFonts w:hint="eastAsia"/>
          <w:color w:val="auto"/>
          <w:highlight w:val="none"/>
        </w:rPr>
      </w:pPr>
    </w:p>
    <w:p w14:paraId="6703F987">
      <w:pP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2C0B9A7C">
      <w:pPr>
        <w:pStyle w:val="7"/>
        <w:spacing w:line="480" w:lineRule="auto"/>
        <w:ind w:firstLine="1470" w:firstLineChars="7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2422D79C">
      <w:pPr>
        <w:pStyle w:val="7"/>
        <w:spacing w:line="480" w:lineRule="auto"/>
        <w:ind w:firstLine="4935" w:firstLineChars="2350"/>
        <w:rPr>
          <w:rFonts w:hint="eastAsia"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78B2E91">
      <w:pPr>
        <w:spacing w:line="300" w:lineRule="auto"/>
        <w:rPr>
          <w:rFonts w:hint="eastAsia" w:ascii="宋体" w:hAnsi="宋体" w:cs="宋体"/>
          <w:color w:val="auto"/>
          <w:szCs w:val="21"/>
          <w:highlight w:val="none"/>
        </w:rPr>
      </w:pPr>
    </w:p>
    <w:p w14:paraId="139AD078">
      <w:pPr>
        <w:spacing w:line="300" w:lineRule="auto"/>
        <w:rPr>
          <w:rFonts w:hint="eastAsia" w:ascii="宋体" w:hAnsi="宋体" w:cs="宋体"/>
          <w:color w:val="auto"/>
          <w:szCs w:val="21"/>
          <w:highlight w:val="none"/>
        </w:rPr>
      </w:pPr>
    </w:p>
    <w:p w14:paraId="1F089773">
      <w:pPr>
        <w:spacing w:line="50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附件四</w:t>
      </w:r>
    </w:p>
    <w:p w14:paraId="3AA38A3E">
      <w:pPr>
        <w:adjustRightInd w:val="0"/>
        <w:snapToGrid w:val="0"/>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506E00D1">
      <w:pPr>
        <w:adjustRightInd w:val="0"/>
        <w:snapToGrid w:val="0"/>
        <w:spacing w:line="520" w:lineRule="exact"/>
        <w:rPr>
          <w:rFonts w:hint="eastAsia" w:ascii="宋体" w:hAnsi="宋体" w:cs="宋体"/>
          <w:color w:val="auto"/>
          <w:szCs w:val="21"/>
          <w:highlight w:val="none"/>
        </w:rPr>
      </w:pPr>
    </w:p>
    <w:p w14:paraId="02BC838A">
      <w:pPr>
        <w:spacing w:line="520" w:lineRule="exact"/>
        <w:rPr>
          <w:rFonts w:hint="eastAsia"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4655CAFE">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（采购项目名称、采购项目编号）竞争性磋商</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112220CD">
      <w:pPr>
        <w:spacing w:line="520" w:lineRule="exact"/>
        <w:rPr>
          <w:rFonts w:hint="eastAsia" w:ascii="宋体" w:hAnsi="宋体" w:cs="宋体"/>
          <w:color w:val="auto"/>
          <w:szCs w:val="21"/>
          <w:highlight w:val="none"/>
        </w:rPr>
      </w:pPr>
    </w:p>
    <w:p w14:paraId="5BF813F1">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磋商供应商（盖章）：</w:t>
      </w:r>
      <w:r>
        <w:rPr>
          <w:rFonts w:hint="eastAsia" w:ascii="宋体" w:hAnsi="宋体" w:cs="宋体"/>
          <w:color w:val="auto"/>
          <w:szCs w:val="21"/>
          <w:highlight w:val="none"/>
          <w:u w:val="single"/>
        </w:rPr>
        <w:t xml:space="preserve">                   </w:t>
      </w:r>
    </w:p>
    <w:p w14:paraId="11ACAD9D">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67AB2EAB">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4CDAE7E">
      <w:pPr>
        <w:spacing w:line="520" w:lineRule="exact"/>
        <w:rPr>
          <w:rFonts w:hint="eastAsia" w:ascii="宋体" w:hAnsi="宋体" w:cs="宋体"/>
          <w:color w:val="auto"/>
          <w:szCs w:val="21"/>
          <w:highlight w:val="none"/>
        </w:rPr>
      </w:pPr>
    </w:p>
    <w:p w14:paraId="09485249">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14:paraId="571E0052">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11CECDBB">
      <w:pPr>
        <w:adjustRightInd w:val="0"/>
        <w:snapToGrid w:val="0"/>
        <w:spacing w:line="5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1E8B711">
      <w:pPr>
        <w:adjustRightInd w:val="0"/>
        <w:snapToGrid w:val="0"/>
        <w:spacing w:line="520" w:lineRule="exact"/>
        <w:ind w:firstLine="420" w:firstLineChars="200"/>
        <w:rPr>
          <w:rFonts w:hint="eastAsia" w:ascii="宋体" w:hAnsi="宋体" w:cs="宋体"/>
          <w:color w:val="auto"/>
          <w:szCs w:val="21"/>
          <w:highlight w:val="none"/>
          <w:u w:val="single"/>
        </w:rPr>
      </w:pPr>
    </w:p>
    <w:tbl>
      <w:tblPr>
        <w:tblStyle w:val="13"/>
        <w:tblW w:w="8861"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8F0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vAlign w:val="top"/>
          </w:tcPr>
          <w:p w14:paraId="3094E408">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粘贴委托代理人的有效身份证正面及反面复印件</w:t>
            </w:r>
          </w:p>
        </w:tc>
      </w:tr>
    </w:tbl>
    <w:p w14:paraId="2806B7CD">
      <w:pPr>
        <w:autoSpaceDE w:val="0"/>
        <w:autoSpaceDN w:val="0"/>
        <w:spacing w:line="300" w:lineRule="auto"/>
        <w:ind w:left="480" w:hanging="480"/>
        <w:rPr>
          <w:rFonts w:hint="eastAsia" w:ascii="宋体" w:hAnsi="宋体" w:cs="宋体"/>
          <w:color w:val="auto"/>
          <w:szCs w:val="21"/>
          <w:highlight w:val="none"/>
        </w:rPr>
      </w:pPr>
    </w:p>
    <w:p w14:paraId="33A1A0AC">
      <w:pPr>
        <w:autoSpaceDE w:val="0"/>
        <w:autoSpaceDN w:val="0"/>
        <w:spacing w:line="300" w:lineRule="auto"/>
        <w:ind w:left="480" w:hanging="480"/>
        <w:rPr>
          <w:rFonts w:hint="eastAsia" w:ascii="宋体" w:hAnsi="宋体" w:cs="宋体"/>
          <w:color w:val="auto"/>
          <w:szCs w:val="21"/>
          <w:highlight w:val="none"/>
        </w:rPr>
      </w:pPr>
    </w:p>
    <w:p w14:paraId="754ADC5C">
      <w:pPr>
        <w:spacing w:line="500" w:lineRule="exact"/>
        <w:rPr>
          <w:rFonts w:hint="eastAsia" w:ascii="宋体" w:hAnsi="宋体" w:cs="宋体"/>
          <w:color w:val="auto"/>
          <w:kern w:val="0"/>
          <w:highlight w:val="none"/>
        </w:rPr>
      </w:pPr>
    </w:p>
    <w:p w14:paraId="40FD65D6">
      <w:pPr>
        <w:spacing w:line="500" w:lineRule="exact"/>
        <w:rPr>
          <w:rFonts w:hint="eastAsia" w:ascii="宋体" w:hAnsi="宋体" w:cs="宋体"/>
          <w:color w:val="auto"/>
          <w:sz w:val="32"/>
          <w:szCs w:val="32"/>
          <w:highlight w:val="none"/>
        </w:rPr>
      </w:pPr>
      <w:r>
        <w:rPr>
          <w:rFonts w:hint="eastAsia" w:ascii="宋体" w:hAnsi="宋体" w:cs="宋体"/>
          <w:color w:val="auto"/>
          <w:kern w:val="0"/>
          <w:highlight w:val="none"/>
        </w:rPr>
        <w:br w:type="page"/>
      </w:r>
    </w:p>
    <w:p w14:paraId="7E750CAD">
      <w:pPr>
        <w:snapToGrid w:val="0"/>
        <w:spacing w:before="156" w:beforeLines="50" w:after="50" w:line="400" w:lineRule="exact"/>
        <w:jc w:val="center"/>
        <w:rPr>
          <w:rFonts w:hint="eastAsia" w:ascii="宋体" w:hAnsi="宋体" w:cs="宋体"/>
          <w:b/>
          <w:color w:val="auto"/>
          <w:kern w:val="0"/>
          <w:sz w:val="32"/>
          <w:szCs w:val="32"/>
          <w:highlight w:val="none"/>
        </w:rPr>
      </w:pPr>
    </w:p>
    <w:p w14:paraId="0B268D4A">
      <w:pPr>
        <w:spacing w:line="400" w:lineRule="exact"/>
        <w:ind w:left="420" w:hanging="420"/>
        <w:jc w:val="center"/>
        <w:rPr>
          <w:rFonts w:hint="eastAsia" w:ascii="宋体" w:hAnsi="宋体" w:cs="宋体"/>
          <w:b/>
          <w:color w:val="auto"/>
          <w:kern w:val="0"/>
          <w:sz w:val="32"/>
          <w:szCs w:val="32"/>
          <w:highlight w:val="none"/>
        </w:rPr>
      </w:pPr>
    </w:p>
    <w:p w14:paraId="7D51C48D">
      <w:pPr>
        <w:spacing w:line="400" w:lineRule="exact"/>
        <w:ind w:left="420" w:hanging="420"/>
        <w:jc w:val="center"/>
        <w:rPr>
          <w:rFonts w:hint="eastAsia" w:ascii="宋体" w:hAnsi="宋体" w:cs="宋体"/>
          <w:b/>
          <w:color w:val="auto"/>
          <w:kern w:val="0"/>
          <w:sz w:val="32"/>
          <w:szCs w:val="32"/>
          <w:highlight w:val="none"/>
        </w:rPr>
      </w:pPr>
    </w:p>
    <w:p w14:paraId="5567B71B">
      <w:pPr>
        <w:spacing w:line="400" w:lineRule="exact"/>
        <w:ind w:left="420" w:hanging="420"/>
        <w:jc w:val="center"/>
        <w:rPr>
          <w:rFonts w:hint="eastAsia" w:ascii="宋体" w:hAnsi="宋体" w:cs="宋体"/>
          <w:b/>
          <w:color w:val="auto"/>
          <w:kern w:val="0"/>
          <w:sz w:val="32"/>
          <w:szCs w:val="32"/>
          <w:highlight w:val="none"/>
        </w:rPr>
      </w:pPr>
    </w:p>
    <w:p w14:paraId="478CD673">
      <w:pPr>
        <w:spacing w:line="400" w:lineRule="exact"/>
        <w:ind w:left="420" w:hanging="420"/>
        <w:jc w:val="center"/>
        <w:rPr>
          <w:rFonts w:hint="eastAsia" w:ascii="宋体" w:hAnsi="宋体" w:cs="宋体"/>
          <w:b/>
          <w:color w:val="auto"/>
          <w:kern w:val="0"/>
          <w:sz w:val="32"/>
          <w:szCs w:val="32"/>
          <w:highlight w:val="none"/>
        </w:rPr>
      </w:pPr>
    </w:p>
    <w:p w14:paraId="71760B6D">
      <w:pPr>
        <w:spacing w:line="400" w:lineRule="exact"/>
        <w:ind w:left="420" w:hanging="420"/>
        <w:jc w:val="center"/>
        <w:rPr>
          <w:rFonts w:hint="eastAsia" w:ascii="宋体" w:hAnsi="宋体" w:cs="宋体"/>
          <w:b/>
          <w:color w:val="auto"/>
          <w:kern w:val="0"/>
          <w:sz w:val="32"/>
          <w:szCs w:val="32"/>
          <w:highlight w:val="none"/>
        </w:rPr>
      </w:pPr>
    </w:p>
    <w:p w14:paraId="6E5D9927">
      <w:pPr>
        <w:spacing w:line="400" w:lineRule="exact"/>
        <w:ind w:left="420" w:hanging="420"/>
        <w:jc w:val="center"/>
        <w:rPr>
          <w:rFonts w:hint="eastAsia" w:ascii="宋体" w:hAnsi="宋体" w:cs="宋体"/>
          <w:b/>
          <w:color w:val="auto"/>
          <w:kern w:val="0"/>
          <w:sz w:val="32"/>
          <w:szCs w:val="32"/>
          <w:highlight w:val="none"/>
        </w:rPr>
      </w:pPr>
    </w:p>
    <w:p w14:paraId="11DEE1EE">
      <w:pPr>
        <w:spacing w:line="400" w:lineRule="exact"/>
        <w:ind w:left="420" w:hanging="420"/>
        <w:jc w:val="center"/>
        <w:rPr>
          <w:rFonts w:hint="eastAsia" w:ascii="宋体" w:hAnsi="宋体" w:cs="宋体"/>
          <w:b/>
          <w:color w:val="auto"/>
          <w:kern w:val="0"/>
          <w:sz w:val="32"/>
          <w:szCs w:val="32"/>
          <w:highlight w:val="none"/>
        </w:rPr>
      </w:pPr>
    </w:p>
    <w:p w14:paraId="56DF520A">
      <w:pPr>
        <w:spacing w:line="400" w:lineRule="exact"/>
        <w:ind w:left="420" w:hanging="420"/>
        <w:jc w:val="center"/>
        <w:rPr>
          <w:rFonts w:hint="eastAsia" w:ascii="宋体" w:hAnsi="宋体" w:cs="宋体"/>
          <w:b/>
          <w:color w:val="auto"/>
          <w:kern w:val="0"/>
          <w:sz w:val="32"/>
          <w:szCs w:val="32"/>
          <w:highlight w:val="none"/>
        </w:rPr>
      </w:pPr>
    </w:p>
    <w:p w14:paraId="2F4D0B38">
      <w:pPr>
        <w:spacing w:line="400" w:lineRule="exact"/>
        <w:ind w:left="420" w:hanging="420"/>
        <w:jc w:val="center"/>
        <w:rPr>
          <w:rFonts w:hint="eastAsia" w:ascii="宋体" w:hAnsi="宋体" w:cs="宋体"/>
          <w:b/>
          <w:color w:val="auto"/>
          <w:kern w:val="0"/>
          <w:sz w:val="32"/>
          <w:szCs w:val="32"/>
          <w:highlight w:val="none"/>
        </w:rPr>
      </w:pPr>
    </w:p>
    <w:p w14:paraId="08377038">
      <w:pPr>
        <w:spacing w:line="400" w:lineRule="exact"/>
        <w:ind w:left="420" w:hanging="420"/>
        <w:jc w:val="center"/>
        <w:rPr>
          <w:rFonts w:hint="eastAsia" w:ascii="宋体" w:hAnsi="宋体" w:cs="宋体"/>
          <w:b/>
          <w:color w:val="auto"/>
          <w:kern w:val="0"/>
          <w:sz w:val="32"/>
          <w:szCs w:val="32"/>
          <w:highlight w:val="none"/>
        </w:rPr>
      </w:pPr>
    </w:p>
    <w:p w14:paraId="12544F2D">
      <w:pPr>
        <w:spacing w:line="400" w:lineRule="exact"/>
        <w:rPr>
          <w:rFonts w:hint="eastAsia" w:ascii="宋体" w:hAnsi="宋体" w:cs="宋体"/>
          <w:b/>
          <w:color w:val="auto"/>
          <w:kern w:val="0"/>
          <w:sz w:val="32"/>
          <w:szCs w:val="32"/>
          <w:highlight w:val="none"/>
        </w:rPr>
      </w:pPr>
    </w:p>
    <w:p w14:paraId="61DB71F0">
      <w:pPr>
        <w:pStyle w:val="12"/>
        <w:rPr>
          <w:rFonts w:hint="eastAsia" w:ascii="宋体" w:hAnsi="宋体" w:cs="宋体"/>
          <w:color w:val="auto"/>
          <w:kern w:val="0"/>
          <w:sz w:val="44"/>
          <w:szCs w:val="44"/>
          <w:highlight w:val="none"/>
        </w:rPr>
      </w:pPr>
      <w:bookmarkStart w:id="81" w:name="_Toc30488"/>
      <w:bookmarkStart w:id="82" w:name="_Toc476258672"/>
      <w:r>
        <w:rPr>
          <w:rFonts w:hint="eastAsia" w:ascii="宋体" w:hAnsi="宋体" w:cs="宋体"/>
          <w:color w:val="auto"/>
          <w:kern w:val="0"/>
          <w:sz w:val="44"/>
          <w:szCs w:val="44"/>
          <w:highlight w:val="none"/>
        </w:rPr>
        <w:t>第五章  合同主要条款</w:t>
      </w:r>
      <w:bookmarkEnd w:id="81"/>
      <w:bookmarkEnd w:id="82"/>
    </w:p>
    <w:p w14:paraId="0C1C38EF">
      <w:pPr>
        <w:spacing w:line="300" w:lineRule="auto"/>
        <w:ind w:left="420" w:hanging="420"/>
        <w:jc w:val="center"/>
        <w:rPr>
          <w:rFonts w:hint="eastAsia" w:ascii="宋体" w:hAnsi="宋体" w:cs="宋体"/>
          <w:b/>
          <w:color w:val="auto"/>
          <w:kern w:val="0"/>
          <w:sz w:val="32"/>
          <w:szCs w:val="32"/>
          <w:highlight w:val="none"/>
        </w:rPr>
      </w:pPr>
    </w:p>
    <w:p w14:paraId="15FE33C2">
      <w:pPr>
        <w:spacing w:line="300" w:lineRule="auto"/>
        <w:ind w:left="420" w:hanging="420"/>
        <w:jc w:val="center"/>
        <w:rPr>
          <w:rFonts w:hint="eastAsia" w:ascii="宋体" w:hAnsi="宋体" w:cs="宋体"/>
          <w:b/>
          <w:color w:val="auto"/>
          <w:kern w:val="0"/>
          <w:sz w:val="32"/>
          <w:szCs w:val="32"/>
          <w:highlight w:val="none"/>
        </w:rPr>
      </w:pPr>
    </w:p>
    <w:p w14:paraId="1D789248">
      <w:pPr>
        <w:spacing w:line="300" w:lineRule="auto"/>
        <w:ind w:left="420" w:hanging="420"/>
        <w:jc w:val="center"/>
        <w:rPr>
          <w:rFonts w:hint="eastAsia" w:ascii="宋体" w:hAnsi="宋体" w:cs="宋体"/>
          <w:b/>
          <w:color w:val="auto"/>
          <w:kern w:val="0"/>
          <w:sz w:val="32"/>
          <w:szCs w:val="32"/>
          <w:highlight w:val="none"/>
        </w:rPr>
      </w:pPr>
    </w:p>
    <w:p w14:paraId="5F404C6E">
      <w:pPr>
        <w:spacing w:line="300" w:lineRule="auto"/>
        <w:ind w:left="420" w:hanging="420"/>
        <w:jc w:val="center"/>
        <w:rPr>
          <w:rFonts w:hint="eastAsia" w:ascii="宋体" w:hAnsi="宋体" w:cs="宋体"/>
          <w:b/>
          <w:color w:val="auto"/>
          <w:kern w:val="0"/>
          <w:sz w:val="32"/>
          <w:szCs w:val="32"/>
          <w:highlight w:val="none"/>
        </w:rPr>
      </w:pPr>
    </w:p>
    <w:p w14:paraId="60FFE1D8">
      <w:pPr>
        <w:spacing w:line="300" w:lineRule="auto"/>
        <w:ind w:left="420" w:hanging="420"/>
        <w:jc w:val="center"/>
        <w:rPr>
          <w:rFonts w:hint="eastAsia" w:ascii="宋体" w:hAnsi="宋体" w:cs="宋体"/>
          <w:b/>
          <w:color w:val="auto"/>
          <w:kern w:val="0"/>
          <w:sz w:val="32"/>
          <w:szCs w:val="32"/>
          <w:highlight w:val="none"/>
        </w:rPr>
      </w:pPr>
    </w:p>
    <w:p w14:paraId="033867B6">
      <w:pPr>
        <w:spacing w:line="300" w:lineRule="auto"/>
        <w:ind w:left="420" w:hanging="420"/>
        <w:jc w:val="center"/>
        <w:rPr>
          <w:rFonts w:hint="eastAsia" w:ascii="宋体" w:hAnsi="宋体" w:cs="宋体"/>
          <w:b/>
          <w:color w:val="auto"/>
          <w:kern w:val="0"/>
          <w:sz w:val="32"/>
          <w:szCs w:val="32"/>
          <w:highlight w:val="none"/>
        </w:rPr>
      </w:pPr>
    </w:p>
    <w:p w14:paraId="6729C49D">
      <w:pPr>
        <w:spacing w:line="300" w:lineRule="auto"/>
        <w:ind w:left="420" w:hanging="420"/>
        <w:jc w:val="center"/>
        <w:rPr>
          <w:rFonts w:hint="eastAsia" w:ascii="宋体" w:hAnsi="宋体" w:cs="宋体"/>
          <w:b/>
          <w:color w:val="auto"/>
          <w:kern w:val="0"/>
          <w:sz w:val="32"/>
          <w:szCs w:val="32"/>
          <w:highlight w:val="none"/>
        </w:rPr>
      </w:pPr>
    </w:p>
    <w:p w14:paraId="173BE191">
      <w:pPr>
        <w:spacing w:line="300" w:lineRule="auto"/>
        <w:ind w:left="420" w:hanging="420"/>
        <w:jc w:val="center"/>
        <w:rPr>
          <w:rFonts w:hint="eastAsia" w:ascii="宋体" w:hAnsi="宋体" w:cs="宋体"/>
          <w:b/>
          <w:color w:val="auto"/>
          <w:kern w:val="0"/>
          <w:sz w:val="32"/>
          <w:szCs w:val="32"/>
          <w:highlight w:val="none"/>
        </w:rPr>
      </w:pPr>
    </w:p>
    <w:p w14:paraId="3917B98B">
      <w:pPr>
        <w:spacing w:line="300" w:lineRule="auto"/>
        <w:ind w:left="420" w:hanging="420"/>
        <w:jc w:val="center"/>
        <w:rPr>
          <w:rFonts w:hint="eastAsia" w:ascii="宋体" w:hAnsi="宋体" w:cs="宋体"/>
          <w:b/>
          <w:color w:val="auto"/>
          <w:kern w:val="0"/>
          <w:sz w:val="32"/>
          <w:szCs w:val="32"/>
          <w:highlight w:val="none"/>
        </w:rPr>
      </w:pPr>
    </w:p>
    <w:p w14:paraId="79819D19">
      <w:pPr>
        <w:spacing w:line="300" w:lineRule="auto"/>
        <w:ind w:left="420" w:hanging="420"/>
        <w:jc w:val="center"/>
        <w:rPr>
          <w:rFonts w:hint="eastAsia" w:ascii="宋体" w:hAnsi="宋体" w:cs="宋体"/>
          <w:b/>
          <w:color w:val="auto"/>
          <w:kern w:val="0"/>
          <w:sz w:val="32"/>
          <w:szCs w:val="32"/>
          <w:highlight w:val="none"/>
        </w:rPr>
      </w:pPr>
    </w:p>
    <w:p w14:paraId="03FB58EA">
      <w:pPr>
        <w:spacing w:line="300" w:lineRule="auto"/>
        <w:ind w:left="420" w:hanging="420"/>
        <w:jc w:val="center"/>
        <w:rPr>
          <w:rFonts w:hint="eastAsia" w:ascii="宋体" w:hAnsi="宋体" w:cs="宋体"/>
          <w:b/>
          <w:color w:val="auto"/>
          <w:kern w:val="0"/>
          <w:sz w:val="32"/>
          <w:szCs w:val="32"/>
          <w:highlight w:val="none"/>
        </w:rPr>
      </w:pPr>
    </w:p>
    <w:p w14:paraId="4AC52CF5">
      <w:pPr>
        <w:ind w:firstLine="2719" w:firstLineChars="1295"/>
        <w:rPr>
          <w:rFonts w:hint="eastAsia" w:ascii="宋体" w:hAnsi="宋体" w:cs="宋体"/>
          <w:b/>
          <w:color w:val="auto"/>
          <w:sz w:val="32"/>
          <w:szCs w:val="32"/>
          <w:highlight w:val="none"/>
        </w:rPr>
      </w:pPr>
      <w:r>
        <w:rPr>
          <w:rFonts w:hint="eastAsia" w:ascii="宋体" w:hAnsi="宋体" w:cs="宋体"/>
          <w:color w:val="auto"/>
          <w:highlight w:val="none"/>
        </w:rPr>
        <w:br w:type="page"/>
      </w:r>
    </w:p>
    <w:p w14:paraId="3BA0622C">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目  录</w:t>
      </w:r>
    </w:p>
    <w:p w14:paraId="744451B8">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429D3F1A">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14:paraId="3784A442">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31505D47">
      <w:pPr>
        <w:pStyle w:val="11"/>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1F939D37">
      <w:pPr>
        <w:pStyle w:val="11"/>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032F9B01">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3、磋商书</w:t>
      </w:r>
    </w:p>
    <w:p w14:paraId="76386741">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4、第一次报价</w:t>
      </w:r>
    </w:p>
    <w:p w14:paraId="34DE1758">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5、商务、技术响应、偏离情况说明表</w:t>
      </w:r>
    </w:p>
    <w:p w14:paraId="56AE9BA3">
      <w:pPr>
        <w:pStyle w:val="11"/>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33B79E8B">
      <w:pPr>
        <w:pStyle w:val="11"/>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7、竞争性磋商应答文件</w:t>
      </w:r>
    </w:p>
    <w:p w14:paraId="56FA3D73">
      <w:pPr>
        <w:pStyle w:val="11"/>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23CAE6B9">
      <w:pPr>
        <w:pStyle w:val="11"/>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sz w:val="28"/>
          <w:szCs w:val="28"/>
          <w:highlight w:val="none"/>
        </w:rPr>
        <w:t>9、服务承诺（服务方案）</w:t>
      </w:r>
    </w:p>
    <w:p w14:paraId="415D79DE">
      <w:pPr>
        <w:snapToGrid w:val="0"/>
        <w:spacing w:line="6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2D96D10D">
      <w:pPr>
        <w:snapToGrid w:val="0"/>
        <w:spacing w:line="3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F0F0544">
      <w:pPr>
        <w:pStyle w:val="7"/>
        <w:spacing w:line="720" w:lineRule="auto"/>
        <w:ind w:right="420"/>
        <w:jc w:val="center"/>
        <w:rPr>
          <w:rFonts w:hint="eastAsia" w:hAnsi="宋体" w:cs="宋体"/>
          <w:b/>
          <w:bCs/>
          <w:color w:val="auto"/>
          <w:sz w:val="32"/>
          <w:szCs w:val="32"/>
          <w:highlight w:val="none"/>
        </w:rPr>
      </w:pPr>
      <w:r>
        <w:rPr>
          <w:rFonts w:hint="eastAsia"/>
          <w:color w:val="auto"/>
          <w:highlight w:val="none"/>
        </w:rPr>
        <w:br w:type="page"/>
      </w:r>
      <w:r>
        <w:rPr>
          <w:rFonts w:hint="eastAsia" w:hAnsi="宋体" w:cs="宋体"/>
          <w:b/>
          <w:bCs/>
          <w:color w:val="auto"/>
          <w:sz w:val="32"/>
          <w:szCs w:val="32"/>
          <w:highlight w:val="none"/>
        </w:rPr>
        <w:t>采购合同（格式）</w:t>
      </w:r>
    </w:p>
    <w:p w14:paraId="62757D33">
      <w:pPr>
        <w:snapToGrid w:val="0"/>
        <w:spacing w:line="400" w:lineRule="exact"/>
        <w:ind w:right="480" w:firstLine="5985" w:firstLineChars="285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40F25D8E">
      <w:pPr>
        <w:snapToGrid w:val="0"/>
        <w:spacing w:line="400" w:lineRule="exact"/>
        <w:rPr>
          <w:rFonts w:hint="eastAsia" w:ascii="宋体" w:hAnsi="宋体" w:cs="宋体"/>
          <w:color w:val="auto"/>
          <w:szCs w:val="21"/>
          <w:highlight w:val="none"/>
        </w:rPr>
      </w:pPr>
    </w:p>
    <w:p w14:paraId="03F310A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p>
    <w:p w14:paraId="3559E75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AA959F2">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项目名称编号</w:t>
      </w:r>
      <w:r>
        <w:rPr>
          <w:rFonts w:hint="eastAsia" w:ascii="宋体" w:hAnsi="宋体" w:cs="宋体"/>
          <w:color w:val="auto"/>
          <w:szCs w:val="21"/>
          <w:highlight w:val="none"/>
          <w:u w:val="single"/>
        </w:rPr>
        <w:t xml:space="preserve">                       </w:t>
      </w:r>
    </w:p>
    <w:p w14:paraId="44A1B130">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2025年    月   日</w:t>
      </w:r>
      <w:r>
        <w:rPr>
          <w:rFonts w:hint="eastAsia" w:ascii="宋体" w:hAnsi="宋体" w:cs="宋体"/>
          <w:color w:val="auto"/>
          <w:szCs w:val="21"/>
          <w:highlight w:val="none"/>
          <w:u w:val="single"/>
        </w:rPr>
        <w:t xml:space="preserve">      </w:t>
      </w:r>
    </w:p>
    <w:p w14:paraId="6615315D">
      <w:pPr>
        <w:snapToGrid w:val="0"/>
        <w:spacing w:line="400" w:lineRule="exact"/>
        <w:ind w:firstLine="420" w:firstLineChars="200"/>
        <w:rPr>
          <w:rFonts w:hint="eastAsia" w:ascii="宋体" w:hAnsi="宋体" w:cs="宋体"/>
          <w:color w:val="auto"/>
          <w:szCs w:val="21"/>
          <w:highlight w:val="none"/>
        </w:rPr>
      </w:pPr>
    </w:p>
    <w:p w14:paraId="00460F5A">
      <w:pPr>
        <w:pStyle w:val="7"/>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5A99745B">
      <w:pPr>
        <w:numPr>
          <w:ilvl w:val="0"/>
          <w:numId w:val="0"/>
        </w:numPr>
        <w:snapToGrid w:val="0"/>
        <w:spacing w:line="400" w:lineRule="exact"/>
        <w:ind w:left="1262" w:leftChars="0" w:hanging="840" w:firstLineChars="0"/>
        <w:outlineLvl w:val="9"/>
        <w:rPr>
          <w:rFonts w:hint="eastAsia" w:ascii="宋体" w:hAnsi="宋体" w:cs="宋体"/>
          <w:b/>
          <w:color w:val="auto"/>
          <w:szCs w:val="21"/>
          <w:highlight w:val="none"/>
        </w:rPr>
      </w:pPr>
      <w:r>
        <w:rPr>
          <w:rFonts w:hint="default" w:ascii="宋体" w:hAnsi="宋体" w:cs="宋体"/>
          <w:b/>
          <w:color w:val="auto"/>
          <w:kern w:val="2"/>
          <w:sz w:val="21"/>
          <w:szCs w:val="21"/>
          <w:highlight w:val="none"/>
          <w:lang w:val="en-US" w:eastAsia="zh-CN" w:bidi="ar-SA"/>
        </w:rPr>
        <w:t>第一条</w:t>
      </w:r>
      <w:r>
        <w:rPr>
          <w:rFonts w:hint="eastAsia" w:ascii="宋体" w:hAnsi="宋体" w:cs="宋体"/>
          <w:b/>
          <w:color w:val="auto"/>
          <w:kern w:val="2"/>
          <w:sz w:val="21"/>
          <w:szCs w:val="21"/>
          <w:highlight w:val="none"/>
          <w:lang w:val="en-US" w:eastAsia="zh-CN" w:bidi="ar-SA"/>
        </w:rPr>
        <w:t xml:space="preserve"> </w:t>
      </w:r>
      <w:r>
        <w:rPr>
          <w:rFonts w:hint="eastAsia" w:ascii="宋体" w:hAnsi="宋体" w:cs="宋体"/>
          <w:b/>
          <w:color w:val="auto"/>
          <w:szCs w:val="21"/>
          <w:highlight w:val="none"/>
        </w:rPr>
        <w:t>合同标的</w:t>
      </w:r>
    </w:p>
    <w:p w14:paraId="6B0DE8D1">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服务名称：</w:t>
      </w:r>
    </w:p>
    <w:p w14:paraId="18D8CEF7">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服务数量：</w:t>
      </w:r>
    </w:p>
    <w:p w14:paraId="43D22B96">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服务内容：</w:t>
      </w:r>
    </w:p>
    <w:p w14:paraId="07A3D6E4">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rPr>
      </w:pPr>
      <w:r>
        <w:rPr>
          <w:rFonts w:hint="default" w:ascii="宋体" w:hAnsi="宋体" w:eastAsia="宋体" w:cs="宋体"/>
          <w:b/>
          <w:color w:val="auto"/>
          <w:szCs w:val="21"/>
          <w:highlight w:val="none"/>
          <w:lang w:val="en-US" w:eastAsia="zh-CN"/>
        </w:rPr>
        <w:t>第二条</w:t>
      </w:r>
      <w:r>
        <w:rPr>
          <w:rFonts w:hint="eastAsia" w:ascii="宋体" w:hAnsi="宋体" w:eastAsia="宋体" w:cs="宋体"/>
          <w:b/>
          <w:color w:val="auto"/>
          <w:szCs w:val="21"/>
          <w:highlight w:val="none"/>
        </w:rPr>
        <w:t>　合同金额</w:t>
      </w:r>
    </w:p>
    <w:p w14:paraId="07652197">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本项目(分标)合同金额(大写)人民币</w:t>
      </w:r>
      <w:r>
        <w:rPr>
          <w:rFonts w:hint="eastAsia" w:ascii="宋体" w:hAnsi="宋体" w:cs="宋体"/>
          <w:b/>
          <w:color w:val="auto"/>
          <w:szCs w:val="21"/>
          <w:highlight w:val="none"/>
          <w:u w:val="single"/>
        </w:rPr>
        <w:t>_______     (￥           元 )</w:t>
      </w:r>
      <w:r>
        <w:rPr>
          <w:rFonts w:hint="eastAsia" w:ascii="宋体" w:hAnsi="宋体" w:cs="宋体"/>
          <w:color w:val="auto"/>
          <w:szCs w:val="21"/>
          <w:highlight w:val="none"/>
        </w:rPr>
        <w:t>(详见报价表)。</w:t>
      </w:r>
    </w:p>
    <w:p w14:paraId="1E51872A">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第三条　提交服务成果时间及地点</w:t>
      </w:r>
    </w:p>
    <w:p w14:paraId="6F26C65A">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交付时间：</w:t>
      </w:r>
    </w:p>
    <w:p w14:paraId="4E19EEED">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交付地点：</w:t>
      </w:r>
    </w:p>
    <w:p w14:paraId="1B03F0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402B12D0">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第四条　售后服务、质保期</w:t>
      </w:r>
    </w:p>
    <w:p w14:paraId="26FFE74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乙方应按照国家有关法律法规和“三包”规定以及采购文件、响应文件和本合同所附的《服务承诺》，为甲方提供售后服务。</w:t>
      </w:r>
    </w:p>
    <w:p w14:paraId="1F26A513">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乙方提供的服务承诺、质保期及其它具体约定事项。（见合同附件）</w:t>
      </w:r>
    </w:p>
    <w:p w14:paraId="7592C8D5">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第五条　付款方式</w:t>
      </w:r>
    </w:p>
    <w:p w14:paraId="3BA83959">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lang w:val="en-US" w:eastAsia="zh-CN"/>
        </w:rPr>
        <w:t>1、本项目无预付款，从服务之日到结束，成交供应商不能提出增加任何费用。</w:t>
      </w:r>
    </w:p>
    <w:p w14:paraId="7CF7A2A7">
      <w:pPr>
        <w:widowControl w:val="0"/>
        <w:numPr>
          <w:ilvl w:val="0"/>
          <w:numId w:val="0"/>
        </w:numPr>
        <w:tabs>
          <w:tab w:val="left" w:pos="180"/>
          <w:tab w:val="left" w:pos="1620"/>
        </w:tabs>
        <w:spacing w:line="38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2、成交人供应商入场完成工作量达到合同工作量的60%时，采购人支付合同总额30%；项目正常使用满1个月20日时，采购人支付合同总额50%，项目竣工验收合格并正常使用满6个月，采购人支付合同余款。</w:t>
      </w:r>
    </w:p>
    <w:p w14:paraId="6BFD59D8">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3、每节点付款前，成交人必须按对应金额开具等额合法发票。</w:t>
      </w:r>
    </w:p>
    <w:p w14:paraId="300F1453">
      <w:pPr>
        <w:pStyle w:val="2"/>
        <w:rPr>
          <w:color w:val="auto"/>
          <w:highlight w:val="none"/>
        </w:rPr>
      </w:pPr>
    </w:p>
    <w:p w14:paraId="6957517F">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第六条　履约保证金</w:t>
      </w:r>
    </w:p>
    <w:p w14:paraId="19DFF68C">
      <w:pPr>
        <w:snapToGrid w:val="0"/>
        <w:spacing w:line="400" w:lineRule="exact"/>
        <w:ind w:left="-61" w:leftChars="-29" w:firstLine="517" w:firstLineChars="245"/>
        <w:outlineLvl w:val="9"/>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lang w:eastAsia="zh-CN"/>
        </w:rPr>
        <w:t>不收取履约保证金</w:t>
      </w:r>
      <w:r>
        <w:rPr>
          <w:rFonts w:hint="eastAsia" w:ascii="宋体" w:hAnsi="宋体" w:cs="宋体"/>
          <w:b/>
          <w:color w:val="auto"/>
          <w:szCs w:val="21"/>
          <w:highlight w:val="none"/>
          <w:u w:val="single"/>
        </w:rPr>
        <w:t xml:space="preserve">              </w:t>
      </w:r>
    </w:p>
    <w:p w14:paraId="3AF66DB9">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第七条 税费</w:t>
      </w:r>
    </w:p>
    <w:p w14:paraId="29F4BE41">
      <w:pPr>
        <w:numPr>
          <w:ilvl w:val="0"/>
          <w:numId w:val="0"/>
        </w:num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本合同执行中相关的一切税费均由乙方负担。</w:t>
      </w:r>
    </w:p>
    <w:p w14:paraId="0B99AB7D">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第八条  验收</w:t>
      </w:r>
    </w:p>
    <w:p w14:paraId="3CB16710">
      <w:pPr>
        <w:pStyle w:val="7"/>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甲方应当在到成交人的服务成果提交后七个工作日内进行验收</w:t>
      </w:r>
      <w:r>
        <w:rPr>
          <w:rFonts w:hint="eastAsia" w:hAnsi="宋体" w:cs="宋体"/>
          <w:color w:val="auto"/>
          <w:highlight w:val="none"/>
        </w:rPr>
        <w:t>。</w:t>
      </w:r>
    </w:p>
    <w:p w14:paraId="6BE7707E">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1CEF084C">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对技术复杂的服务，甲方应请国家认可的专业检测机构参与初步验收及最终验收，并由其出具质量检测报告。</w:t>
      </w:r>
    </w:p>
    <w:p w14:paraId="421C8F0A">
      <w:pPr>
        <w:pStyle w:val="7"/>
        <w:snapToGrid w:val="0"/>
        <w:spacing w:line="400" w:lineRule="exact"/>
        <w:ind w:firstLine="420" w:firstLineChars="200"/>
        <w:rPr>
          <w:rFonts w:hint="eastAsia" w:ascii="宋体" w:hAnsi="宋体" w:cs="宋体"/>
          <w:b/>
          <w:color w:val="auto"/>
          <w:szCs w:val="21"/>
          <w:highlight w:val="none"/>
        </w:rPr>
      </w:pPr>
      <w:r>
        <w:rPr>
          <w:rFonts w:hint="eastAsia" w:hAnsi="宋体" w:cs="宋体"/>
          <w:color w:val="auto"/>
          <w:highlight w:val="none"/>
        </w:rPr>
        <w:t>4. 验收时乙方必须在现场，验收完毕后作出验收结果报告；验收费用由乙方负责。</w:t>
      </w:r>
    </w:p>
    <w:p w14:paraId="7530E616">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第九条　违约责任</w:t>
      </w:r>
    </w:p>
    <w:p w14:paraId="3DB9F842">
      <w:pPr>
        <w:snapToGrid w:val="0"/>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乙方所提供的服务成果质量不合格的，应及时更换，更换不及时的按逾期提交服务成果处罚；因质量问题甲方不同意接收的或特殊情况甲方同意接收的，乙方应向甲方支付违约服务成果款额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违约金并赔偿甲方经济损失。</w:t>
      </w:r>
    </w:p>
    <w:p w14:paraId="3A9A2BD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w:t>
      </w:r>
    </w:p>
    <w:p w14:paraId="2B8E5E6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08626C3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乙方提供的服务成果在质量保证期内，因供应商和其它质量原因造成的问题，由乙方负责。</w:t>
      </w:r>
    </w:p>
    <w:p w14:paraId="386B0D4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其它违约行为按违约服务成果款额5%收取违约金。</w:t>
      </w:r>
    </w:p>
    <w:p w14:paraId="6E38CAF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乙方支付的违约金不足以弥补甲方损失的，还应承担赔偿责任。</w:t>
      </w:r>
    </w:p>
    <w:p w14:paraId="7CCB6AF2">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未能在合同约定的时间内完成该项目系统建设并正式上线使用，成交供应商每推迟1天须向采购人缴纳该项目合同金额1‰的违约金，若超过30天仍不能完成系统建设和上线使用，医院终止该项目合同并保留索赔权利。</w:t>
      </w:r>
    </w:p>
    <w:p w14:paraId="4DB37C8B">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第十条 不可抗力事件处理</w:t>
      </w:r>
    </w:p>
    <w:p w14:paraId="2D4D6673">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32D59F4A">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不可抗力事件发生后，应立即书面通知对方，并寄送有关权威机构出具的证明。</w:t>
      </w:r>
    </w:p>
    <w:p w14:paraId="726CC1EA">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248695C3">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第十一条  合同争议解决</w:t>
      </w:r>
    </w:p>
    <w:p w14:paraId="404D7D47">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6077297C">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因履行本合同引起的或与本合同有关的争议，甲乙双方应首先通过友好协商解决，如果协商不能解决，向甲方所在地有管辖权的人民法院提起诉讼。</w:t>
      </w:r>
    </w:p>
    <w:p w14:paraId="12C1D0F5">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诉讼期间，本合同继续履行。</w:t>
      </w:r>
    </w:p>
    <w:p w14:paraId="1E718E98">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第十二条  合同生效及其它</w:t>
      </w:r>
    </w:p>
    <w:p w14:paraId="0ABDCEEF">
      <w:pPr>
        <w:pStyle w:val="7"/>
        <w:snapToGrid w:val="0"/>
        <w:spacing w:line="400" w:lineRule="exact"/>
        <w:ind w:left="561" w:leftChars="267"/>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6BDB1DC6">
      <w:pPr>
        <w:pStyle w:val="7"/>
        <w:snapToGrid w:val="0"/>
        <w:spacing w:line="400" w:lineRule="exact"/>
        <w:ind w:firstLine="559" w:firstLineChars="265"/>
        <w:rPr>
          <w:rFonts w:hint="eastAsia" w:hAnsi="宋体" w:cs="宋体"/>
          <w:b/>
          <w:color w:val="auto"/>
          <w:highlight w:val="none"/>
        </w:rPr>
      </w:pPr>
      <w:r>
        <w:rPr>
          <w:rFonts w:hint="eastAsia" w:hAnsi="宋体" w:cs="宋体"/>
          <w:b/>
          <w:color w:val="auto"/>
          <w:highlight w:val="none"/>
        </w:rPr>
        <w:t>2．合同执行中涉及采购资金和采购内容修改或补充的，须经采购人审批，并签书面补充协议，方可作为主合同不可分割的一部分。</w:t>
      </w:r>
    </w:p>
    <w:p w14:paraId="16E5416C">
      <w:pPr>
        <w:pStyle w:val="7"/>
        <w:snapToGrid w:val="0"/>
        <w:spacing w:line="400" w:lineRule="exact"/>
        <w:ind w:left="561" w:leftChars="267"/>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64F8A639">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第十三条　合同的变更、终止与转让</w:t>
      </w:r>
    </w:p>
    <w:p w14:paraId="15AB588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4B977A8B">
      <w:pPr>
        <w:pStyle w:val="7"/>
        <w:snapToGrid w:val="0"/>
        <w:spacing w:line="400" w:lineRule="exact"/>
        <w:ind w:firstLine="411" w:firstLineChars="196"/>
        <w:rPr>
          <w:rFonts w:hint="eastAsia" w:hAnsi="宋体" w:cs="宋体"/>
          <w:b/>
          <w:color w:val="auto"/>
          <w:highlight w:val="none"/>
        </w:rPr>
      </w:pPr>
      <w:r>
        <w:rPr>
          <w:rFonts w:hint="eastAsia" w:hAnsi="宋体" w:cs="宋体"/>
          <w:color w:val="auto"/>
          <w:highlight w:val="none"/>
        </w:rPr>
        <w:t>2</w:t>
      </w:r>
      <w:r>
        <w:rPr>
          <w:rFonts w:hint="eastAsia" w:hAnsi="宋体" w:cs="宋体"/>
          <w:color w:val="auto"/>
          <w:highlight w:val="none"/>
          <w:lang w:val="en-US" w:eastAsia="zh-CN"/>
        </w:rPr>
        <w:t>.</w:t>
      </w:r>
      <w:r>
        <w:rPr>
          <w:rFonts w:hint="eastAsia" w:hAnsi="宋体" w:cs="宋体"/>
          <w:color w:val="auto"/>
          <w:highlight w:val="none"/>
        </w:rPr>
        <w:t>乙方不得擅自转让其应履行的合同义务。</w:t>
      </w:r>
    </w:p>
    <w:p w14:paraId="1203FF2A">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第十四条　签订本合同依据</w:t>
      </w:r>
    </w:p>
    <w:p w14:paraId="31FB65F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成交通知书</w:t>
      </w:r>
    </w:p>
    <w:p w14:paraId="5744833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项目采购需求</w:t>
      </w:r>
    </w:p>
    <w:p w14:paraId="58CE92D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磋商书</w:t>
      </w:r>
    </w:p>
    <w:p w14:paraId="2851F83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第一次报价</w:t>
      </w:r>
    </w:p>
    <w:p w14:paraId="4F5C4C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商务、技术响应、偏离情况说明表</w:t>
      </w:r>
    </w:p>
    <w:p w14:paraId="322DA23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竞争性磋商采购活动记录</w:t>
      </w:r>
    </w:p>
    <w:p w14:paraId="175A22C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竞争性磋商应答文件</w:t>
      </w:r>
    </w:p>
    <w:p w14:paraId="31AB3AB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最后报价</w:t>
      </w:r>
    </w:p>
    <w:p w14:paraId="65F2169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服务承诺书</w:t>
      </w:r>
    </w:p>
    <w:p w14:paraId="04599C9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其他与本合同相关的资料（如有请提供）</w:t>
      </w:r>
    </w:p>
    <w:p w14:paraId="63452B3A">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本合同一式七份，具有同等法律效力，甲方四份，乙方二份，代理机构一份。</w:t>
      </w:r>
    </w:p>
    <w:p w14:paraId="551EF8C1">
      <w:pPr>
        <w:pStyle w:val="2"/>
        <w:rPr>
          <w:rFonts w:hint="eastAsia"/>
          <w:color w:val="auto"/>
          <w:highlight w:val="none"/>
        </w:rPr>
      </w:pPr>
    </w:p>
    <w:tbl>
      <w:tblPr>
        <w:tblStyle w:val="1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6D0D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568" w:type="dxa"/>
            <w:vAlign w:val="top"/>
          </w:tcPr>
          <w:p w14:paraId="57BE50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340AF906">
            <w:pPr>
              <w:pStyle w:val="2"/>
              <w:rPr>
                <w:rFonts w:hint="eastAsia"/>
                <w:color w:val="auto"/>
                <w:highlight w:val="none"/>
              </w:rPr>
            </w:pPr>
          </w:p>
        </w:tc>
        <w:tc>
          <w:tcPr>
            <w:tcW w:w="4826" w:type="dxa"/>
            <w:vAlign w:val="top"/>
          </w:tcPr>
          <w:p w14:paraId="6093BBB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9276BF9">
            <w:pPr>
              <w:pStyle w:val="2"/>
              <w:rPr>
                <w:rFonts w:hint="eastAsia"/>
                <w:color w:val="auto"/>
                <w:highlight w:val="none"/>
              </w:rPr>
            </w:pPr>
          </w:p>
        </w:tc>
      </w:tr>
      <w:tr w14:paraId="072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vAlign w:val="top"/>
          </w:tcPr>
          <w:p w14:paraId="4E17928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826" w:type="dxa"/>
            <w:vAlign w:val="top"/>
          </w:tcPr>
          <w:p w14:paraId="3026DBC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71CD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vAlign w:val="top"/>
          </w:tcPr>
          <w:p w14:paraId="37F2BE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826" w:type="dxa"/>
            <w:vAlign w:val="top"/>
          </w:tcPr>
          <w:p w14:paraId="2F66632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74C1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vAlign w:val="top"/>
          </w:tcPr>
          <w:p w14:paraId="6ABA8E8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826" w:type="dxa"/>
            <w:vAlign w:val="top"/>
          </w:tcPr>
          <w:p w14:paraId="01A65C4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A92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vAlign w:val="top"/>
          </w:tcPr>
          <w:p w14:paraId="66E8605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26" w:type="dxa"/>
            <w:vAlign w:val="top"/>
          </w:tcPr>
          <w:p w14:paraId="7A8B109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0B2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vAlign w:val="top"/>
          </w:tcPr>
          <w:p w14:paraId="33B72F8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826" w:type="dxa"/>
            <w:vAlign w:val="top"/>
          </w:tcPr>
          <w:p w14:paraId="057BA9E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DE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vAlign w:val="top"/>
          </w:tcPr>
          <w:p w14:paraId="2698F96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26" w:type="dxa"/>
            <w:vAlign w:val="top"/>
          </w:tcPr>
          <w:p w14:paraId="246698A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3BD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68" w:type="dxa"/>
            <w:vAlign w:val="top"/>
          </w:tcPr>
          <w:p w14:paraId="44A75B5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826" w:type="dxa"/>
            <w:vAlign w:val="top"/>
          </w:tcPr>
          <w:p w14:paraId="473DB99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644C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vAlign w:val="top"/>
          </w:tcPr>
          <w:p w14:paraId="7EAAB0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826" w:type="dxa"/>
            <w:vAlign w:val="top"/>
          </w:tcPr>
          <w:p w14:paraId="2D8AC2D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5B7E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vAlign w:val="top"/>
          </w:tcPr>
          <w:p w14:paraId="21295690">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日期：</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   月   日</w:t>
            </w:r>
          </w:p>
        </w:tc>
        <w:tc>
          <w:tcPr>
            <w:tcW w:w="4826" w:type="dxa"/>
            <w:vAlign w:val="top"/>
          </w:tcPr>
          <w:p w14:paraId="64317F2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日期：</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   月   日</w:t>
            </w:r>
          </w:p>
        </w:tc>
      </w:tr>
    </w:tbl>
    <w:p w14:paraId="652F0F60">
      <w:pPr>
        <w:spacing w:line="480" w:lineRule="auto"/>
        <w:rPr>
          <w:rFonts w:hint="eastAsia" w:ascii="宋体" w:hAnsi="宋体" w:cs="宋体"/>
          <w:b/>
          <w:color w:val="auto"/>
          <w:kern w:val="1"/>
          <w:sz w:val="28"/>
          <w:szCs w:val="28"/>
          <w:highlight w:val="none"/>
        </w:rPr>
      </w:pPr>
    </w:p>
    <w:p w14:paraId="07EC2954">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69C8FD4">
      <w:pPr>
        <w:spacing w:line="360" w:lineRule="auto"/>
        <w:rPr>
          <w:rFonts w:ascii="宋体" w:hAnsi="Courier New" w:cs="Courier New"/>
          <w:color w:val="auto"/>
          <w:szCs w:val="21"/>
          <w:highlight w:val="none"/>
        </w:rPr>
      </w:pPr>
      <w:r>
        <w:rPr>
          <w:rFonts w:hint="eastAsia" w:ascii="宋体" w:hAnsi="Courier New" w:cs="Courier New"/>
          <w:color w:val="auto"/>
          <w:szCs w:val="21"/>
          <w:highlight w:val="none"/>
        </w:rPr>
        <w:t>附件：</w:t>
      </w:r>
    </w:p>
    <w:p w14:paraId="478F49D4">
      <w:pPr>
        <w:spacing w:line="360" w:lineRule="auto"/>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p>
    <w:p w14:paraId="62FF18E6">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00CB7F49">
      <w:pPr>
        <w:spacing w:before="156" w:beforeLines="50" w:after="156" w:afterLines="50" w:line="360" w:lineRule="auto"/>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3B166197">
      <w:pPr>
        <w:pStyle w:val="7"/>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58EFFFA7">
      <w:pPr>
        <w:spacing w:line="360" w:lineRule="auto"/>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7B828EF7">
      <w:pPr>
        <w:spacing w:line="360" w:lineRule="auto"/>
        <w:ind w:firstLine="480" w:firstLineChars="200"/>
        <w:rPr>
          <w:color w:val="auto"/>
          <w:sz w:val="24"/>
          <w:highlight w:val="none"/>
        </w:rPr>
      </w:pPr>
      <w:r>
        <w:rPr>
          <w:rFonts w:hint="eastAsia" w:ascii="宋体" w:hAnsi="宋体"/>
          <w:color w:val="auto"/>
          <w:sz w:val="24"/>
          <w:highlight w:val="none"/>
        </w:rPr>
        <w:t>（一）不得向乙方索要赞助费和回扣费。</w:t>
      </w:r>
    </w:p>
    <w:p w14:paraId="4E87DD84">
      <w:pPr>
        <w:spacing w:line="360" w:lineRule="auto"/>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3CF16BDE">
      <w:pPr>
        <w:spacing w:line="360" w:lineRule="auto"/>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454E1F4D">
      <w:pPr>
        <w:spacing w:line="360" w:lineRule="auto"/>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46A3F3BC">
      <w:pPr>
        <w:spacing w:line="360" w:lineRule="auto"/>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3D91855E">
      <w:pPr>
        <w:spacing w:line="360" w:lineRule="auto"/>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6D639D6E">
      <w:pPr>
        <w:spacing w:line="360" w:lineRule="auto"/>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149F0A54">
      <w:pPr>
        <w:spacing w:line="360" w:lineRule="auto"/>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4C9DEFED">
      <w:pPr>
        <w:spacing w:line="360" w:lineRule="auto"/>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3A55D35F">
      <w:pPr>
        <w:spacing w:line="360" w:lineRule="auto"/>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28388F1D">
      <w:pPr>
        <w:spacing w:line="360" w:lineRule="auto"/>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71490582">
      <w:pPr>
        <w:spacing w:line="360" w:lineRule="auto"/>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7A2CDE39">
      <w:pPr>
        <w:spacing w:line="360" w:lineRule="auto"/>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78B73196">
      <w:pPr>
        <w:spacing w:line="360" w:lineRule="auto"/>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38CA01FF">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6D2E0ED4">
      <w:pPr>
        <w:spacing w:line="360" w:lineRule="auto"/>
        <w:ind w:firstLine="480" w:firstLineChars="200"/>
        <w:rPr>
          <w:rFonts w:hint="eastAsia"/>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64DE353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outlineLvl w:val="9"/>
        <w:rPr>
          <w:rFonts w:hint="eastAsia"/>
          <w:color w:val="auto"/>
          <w:sz w:val="24"/>
          <w:highlight w:val="none"/>
        </w:rPr>
      </w:pPr>
    </w:p>
    <w:p w14:paraId="41A59BB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1CA9BC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33EF535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color w:val="auto"/>
          <w:sz w:val="24"/>
          <w:highlight w:val="none"/>
        </w:rPr>
      </w:pPr>
    </w:p>
    <w:p w14:paraId="3836433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color w:val="auto"/>
          <w:sz w:val="24"/>
          <w:highlight w:val="none"/>
        </w:rPr>
      </w:pPr>
      <w:r>
        <w:rPr>
          <w:rFonts w:hint="eastAsia" w:ascii="宋体" w:hAnsi="宋体"/>
          <w:color w:val="auto"/>
          <w:sz w:val="24"/>
          <w:highlight w:val="none"/>
        </w:rPr>
        <w:t xml:space="preserve">签约日期：   </w:t>
      </w:r>
      <w:r>
        <w:rPr>
          <w:rFonts w:hint="eastAsia"/>
          <w:color w:val="auto"/>
          <w:sz w:val="24"/>
          <w:highlight w:val="none"/>
          <w:lang w:val="en-US" w:eastAsia="zh-CN"/>
        </w:rPr>
        <w:t xml:space="preserve"> </w:t>
      </w: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43C111D7">
      <w:pPr>
        <w:bidi w:val="0"/>
        <w:rPr>
          <w:rFonts w:hint="eastAsia"/>
          <w:color w:val="auto"/>
          <w:highlight w:val="none"/>
        </w:rPr>
      </w:pPr>
    </w:p>
    <w:p w14:paraId="19BE4748">
      <w:pPr>
        <w:pStyle w:val="7"/>
        <w:spacing w:line="360" w:lineRule="auto"/>
        <w:rPr>
          <w:rFonts w:hint="eastAsia" w:hAnsi="宋体" w:cs="宋体"/>
          <w:color w:val="auto"/>
          <w:highlight w:val="none"/>
        </w:rPr>
      </w:pPr>
      <w:r>
        <w:rPr>
          <w:rFonts w:hint="eastAsia" w:ascii="宋体" w:hAnsi="宋体" w:cs="宋体"/>
          <w:color w:val="auto"/>
          <w:sz w:val="32"/>
          <w:szCs w:val="32"/>
          <w:highlight w:val="none"/>
        </w:rPr>
        <w:br w:type="page"/>
      </w:r>
      <w:r>
        <w:rPr>
          <w:rFonts w:hint="eastAsia" w:hAnsi="宋体" w:cs="宋体"/>
          <w:b/>
          <w:color w:val="auto"/>
          <w:highlight w:val="none"/>
        </w:rPr>
        <w:t>附件I：</w:t>
      </w:r>
    </w:p>
    <w:p w14:paraId="099BFAD2">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合同验收报告（格式）</w:t>
      </w:r>
    </w:p>
    <w:p w14:paraId="1A29F350">
      <w:pPr>
        <w:widowControl/>
        <w:spacing w:line="360" w:lineRule="auto"/>
        <w:jc w:val="center"/>
        <w:rPr>
          <w:rFonts w:hint="eastAsia" w:ascii="宋体" w:hAnsi="宋体" w:cs="宋体"/>
          <w:b/>
          <w:bCs/>
          <w:color w:val="auto"/>
          <w:kern w:val="0"/>
          <w:szCs w:val="21"/>
          <w:highlight w:val="none"/>
        </w:rPr>
      </w:pPr>
    </w:p>
    <w:p w14:paraId="46A764A5">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13"/>
        <w:tblW w:w="94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6DE81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7A87A458">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vAlign w:val="center"/>
          </w:tcPr>
          <w:p w14:paraId="13695D54">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vAlign w:val="center"/>
          </w:tcPr>
          <w:p w14:paraId="02A89258">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48CA2636">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vAlign w:val="center"/>
          </w:tcPr>
          <w:p w14:paraId="63EF9F22">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vAlign w:val="center"/>
          </w:tcPr>
          <w:p w14:paraId="0194C146">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vAlign w:val="center"/>
          </w:tcPr>
          <w:p w14:paraId="7B9E292D">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45BE73D8">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5D435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6483C93">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4A36444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1C35E35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14F0E8D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0B845302">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6E8CAA32">
            <w:pPr>
              <w:rPr>
                <w:rFonts w:hint="eastAsia" w:ascii="宋体" w:hAnsi="宋体" w:cs="宋体"/>
                <w:color w:val="auto"/>
                <w:szCs w:val="21"/>
                <w:highlight w:val="none"/>
              </w:rPr>
            </w:pPr>
          </w:p>
        </w:tc>
      </w:tr>
      <w:tr w14:paraId="5CB6B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15DA9A3">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774D31C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18D3038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111558F7">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55C43D7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586BC47B">
            <w:pPr>
              <w:rPr>
                <w:rFonts w:hint="eastAsia" w:ascii="宋体" w:hAnsi="宋体" w:cs="宋体"/>
                <w:color w:val="auto"/>
                <w:szCs w:val="21"/>
                <w:highlight w:val="none"/>
              </w:rPr>
            </w:pPr>
          </w:p>
        </w:tc>
      </w:tr>
      <w:tr w14:paraId="3FBB1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40C489B">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348F4D4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71700D6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3E7B3FA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3895A55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15CD2194">
            <w:pPr>
              <w:rPr>
                <w:rFonts w:hint="eastAsia" w:ascii="宋体" w:hAnsi="宋体" w:cs="宋体"/>
                <w:color w:val="auto"/>
                <w:szCs w:val="21"/>
                <w:highlight w:val="none"/>
              </w:rPr>
            </w:pPr>
          </w:p>
        </w:tc>
      </w:tr>
      <w:tr w14:paraId="4BC90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C9B9799">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11C252F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26772D2A">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4101FE38">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637B389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6099C567">
            <w:pPr>
              <w:rPr>
                <w:rFonts w:hint="eastAsia" w:ascii="宋体" w:hAnsi="宋体" w:cs="宋体"/>
                <w:color w:val="auto"/>
                <w:szCs w:val="21"/>
                <w:highlight w:val="none"/>
              </w:rPr>
            </w:pPr>
          </w:p>
        </w:tc>
      </w:tr>
      <w:tr w14:paraId="641D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74275FC">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4E0EDC66">
            <w:pPr>
              <w:rPr>
                <w:rFonts w:hint="eastAsia" w:ascii="宋体" w:hAnsi="宋体" w:cs="宋体"/>
                <w:color w:val="auto"/>
                <w:szCs w:val="21"/>
                <w:highlight w:val="none"/>
              </w:rPr>
            </w:pPr>
          </w:p>
        </w:tc>
        <w:tc>
          <w:tcPr>
            <w:tcW w:w="3100" w:type="dxa"/>
            <w:gridSpan w:val="2"/>
            <w:vAlign w:val="center"/>
          </w:tcPr>
          <w:p w14:paraId="3F689FEF">
            <w:pPr>
              <w:rPr>
                <w:rFonts w:hint="eastAsia" w:ascii="宋体" w:hAnsi="宋体" w:cs="宋体"/>
                <w:color w:val="auto"/>
                <w:szCs w:val="21"/>
                <w:highlight w:val="none"/>
              </w:rPr>
            </w:pPr>
          </w:p>
        </w:tc>
        <w:tc>
          <w:tcPr>
            <w:tcW w:w="860" w:type="dxa"/>
            <w:gridSpan w:val="2"/>
            <w:vAlign w:val="center"/>
          </w:tcPr>
          <w:p w14:paraId="253F0BAD">
            <w:pPr>
              <w:rPr>
                <w:rFonts w:hint="eastAsia" w:ascii="宋体" w:hAnsi="宋体" w:cs="宋体"/>
                <w:color w:val="auto"/>
                <w:szCs w:val="21"/>
                <w:highlight w:val="none"/>
              </w:rPr>
            </w:pPr>
          </w:p>
        </w:tc>
        <w:tc>
          <w:tcPr>
            <w:tcW w:w="893" w:type="dxa"/>
            <w:tcBorders>
              <w:right w:val="single" w:color="auto" w:sz="4" w:space="0"/>
            </w:tcBorders>
            <w:vAlign w:val="center"/>
          </w:tcPr>
          <w:p w14:paraId="719B55FF">
            <w:pPr>
              <w:rPr>
                <w:rFonts w:hint="eastAsia" w:ascii="宋体" w:hAnsi="宋体" w:cs="宋体"/>
                <w:color w:val="auto"/>
                <w:szCs w:val="21"/>
                <w:highlight w:val="none"/>
              </w:rPr>
            </w:pPr>
          </w:p>
        </w:tc>
        <w:tc>
          <w:tcPr>
            <w:tcW w:w="1297" w:type="dxa"/>
            <w:tcBorders>
              <w:left w:val="single" w:color="auto" w:sz="4" w:space="0"/>
            </w:tcBorders>
            <w:vAlign w:val="center"/>
          </w:tcPr>
          <w:p w14:paraId="7EA65512">
            <w:pPr>
              <w:rPr>
                <w:rFonts w:hint="eastAsia" w:ascii="宋体" w:hAnsi="宋体" w:cs="宋体"/>
                <w:color w:val="auto"/>
                <w:szCs w:val="21"/>
                <w:highlight w:val="none"/>
              </w:rPr>
            </w:pPr>
          </w:p>
        </w:tc>
      </w:tr>
      <w:tr w14:paraId="6504F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3B2CF093">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vAlign w:val="center"/>
          </w:tcPr>
          <w:p w14:paraId="6D7A4F20">
            <w:pPr>
              <w:rPr>
                <w:rFonts w:hint="eastAsia" w:ascii="宋体" w:hAnsi="宋体" w:cs="宋体"/>
                <w:color w:val="auto"/>
                <w:szCs w:val="21"/>
                <w:highlight w:val="none"/>
              </w:rPr>
            </w:pPr>
          </w:p>
        </w:tc>
        <w:tc>
          <w:tcPr>
            <w:tcW w:w="893" w:type="dxa"/>
            <w:tcBorders>
              <w:right w:val="single" w:color="auto" w:sz="4" w:space="0"/>
            </w:tcBorders>
            <w:vAlign w:val="center"/>
          </w:tcPr>
          <w:p w14:paraId="09F110C9">
            <w:pPr>
              <w:rPr>
                <w:rFonts w:hint="eastAsia" w:ascii="宋体" w:hAnsi="宋体" w:cs="宋体"/>
                <w:color w:val="auto"/>
                <w:szCs w:val="21"/>
                <w:highlight w:val="none"/>
              </w:rPr>
            </w:pPr>
          </w:p>
        </w:tc>
        <w:tc>
          <w:tcPr>
            <w:tcW w:w="1297" w:type="dxa"/>
            <w:tcBorders>
              <w:left w:val="single" w:color="auto" w:sz="4" w:space="0"/>
            </w:tcBorders>
            <w:vAlign w:val="center"/>
          </w:tcPr>
          <w:p w14:paraId="42F6D935">
            <w:pPr>
              <w:rPr>
                <w:rFonts w:hint="eastAsia" w:ascii="宋体" w:hAnsi="宋体" w:cs="宋体"/>
                <w:color w:val="auto"/>
                <w:szCs w:val="21"/>
                <w:highlight w:val="none"/>
              </w:rPr>
            </w:pPr>
          </w:p>
        </w:tc>
      </w:tr>
      <w:tr w14:paraId="16237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618ED0A9">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4FEDD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4A2F09B7">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vAlign w:val="center"/>
          </w:tcPr>
          <w:p w14:paraId="5E291129">
            <w:pPr>
              <w:rPr>
                <w:rFonts w:hint="eastAsia" w:ascii="宋体" w:hAnsi="宋体" w:cs="宋体"/>
                <w:color w:val="auto"/>
                <w:szCs w:val="21"/>
                <w:highlight w:val="none"/>
              </w:rPr>
            </w:pPr>
          </w:p>
        </w:tc>
        <w:tc>
          <w:tcPr>
            <w:tcW w:w="1835" w:type="dxa"/>
            <w:gridSpan w:val="2"/>
            <w:vAlign w:val="center"/>
          </w:tcPr>
          <w:p w14:paraId="35A4DD1C">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vAlign w:val="center"/>
          </w:tcPr>
          <w:p w14:paraId="66CA32F7">
            <w:pPr>
              <w:rPr>
                <w:rFonts w:hint="eastAsia" w:ascii="宋体" w:hAnsi="宋体" w:cs="宋体"/>
                <w:color w:val="auto"/>
                <w:szCs w:val="21"/>
                <w:highlight w:val="none"/>
              </w:rPr>
            </w:pPr>
          </w:p>
        </w:tc>
      </w:tr>
      <w:tr w14:paraId="2494D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C6B331F">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tcMar>
              <w:top w:w="0" w:type="dxa"/>
              <w:left w:w="108" w:type="dxa"/>
              <w:bottom w:w="0" w:type="dxa"/>
              <w:right w:w="108" w:type="dxa"/>
            </w:tcMar>
            <w:vAlign w:val="center"/>
          </w:tcPr>
          <w:p w14:paraId="42385C50">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33C01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290C1C2A">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vAlign w:val="center"/>
          </w:tcPr>
          <w:p w14:paraId="1421EC5D">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57ED2238">
            <w:pPr>
              <w:rPr>
                <w:rFonts w:hint="eastAsia" w:ascii="宋体" w:hAnsi="宋体" w:cs="宋体"/>
                <w:color w:val="auto"/>
                <w:szCs w:val="21"/>
                <w:highlight w:val="none"/>
              </w:rPr>
            </w:pPr>
          </w:p>
          <w:p w14:paraId="42F2AA56">
            <w:pPr>
              <w:rPr>
                <w:rFonts w:hint="eastAsia" w:ascii="宋体" w:hAnsi="宋体" w:cs="宋体"/>
                <w:color w:val="auto"/>
                <w:szCs w:val="21"/>
                <w:highlight w:val="none"/>
              </w:rPr>
            </w:pPr>
          </w:p>
        </w:tc>
      </w:tr>
      <w:tr w14:paraId="19FC5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2F13347A">
            <w:pPr>
              <w:rPr>
                <w:rFonts w:hint="eastAsia" w:ascii="宋体" w:hAnsi="宋体" w:cs="宋体"/>
                <w:color w:val="auto"/>
                <w:szCs w:val="21"/>
                <w:highlight w:val="none"/>
              </w:rPr>
            </w:pPr>
          </w:p>
        </w:tc>
        <w:tc>
          <w:tcPr>
            <w:tcW w:w="8111" w:type="dxa"/>
            <w:gridSpan w:val="7"/>
            <w:tcBorders>
              <w:top w:val="single" w:color="auto" w:sz="4" w:space="0"/>
            </w:tcBorders>
            <w:vAlign w:val="center"/>
          </w:tcPr>
          <w:p w14:paraId="689D9F32">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28DC0744">
            <w:pPr>
              <w:rPr>
                <w:rFonts w:hint="eastAsia" w:ascii="宋体" w:hAnsi="宋体" w:cs="宋体"/>
                <w:color w:val="auto"/>
                <w:szCs w:val="21"/>
                <w:highlight w:val="none"/>
              </w:rPr>
            </w:pPr>
          </w:p>
          <w:p w14:paraId="11767D5F">
            <w:pPr>
              <w:rPr>
                <w:rFonts w:hint="eastAsia" w:ascii="宋体" w:hAnsi="宋体" w:cs="宋体"/>
                <w:color w:val="auto"/>
                <w:szCs w:val="21"/>
                <w:highlight w:val="none"/>
              </w:rPr>
            </w:pPr>
          </w:p>
        </w:tc>
      </w:tr>
      <w:tr w14:paraId="6A8C3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776FB04">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1EC79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29955E84">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4035D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210E4639">
            <w:pPr>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6A9CE832">
            <w:pPr>
              <w:rPr>
                <w:rFonts w:hint="eastAsia" w:ascii="宋体" w:hAnsi="宋体" w:cs="宋体"/>
                <w:color w:val="auto"/>
                <w:szCs w:val="21"/>
                <w:highlight w:val="none"/>
              </w:rPr>
            </w:pPr>
          </w:p>
          <w:p w14:paraId="642CFE92">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1725D61A">
            <w:pPr>
              <w:rPr>
                <w:rFonts w:hint="eastAsia" w:ascii="宋体" w:hAnsi="宋体" w:cs="宋体"/>
                <w:color w:val="auto"/>
                <w:szCs w:val="21"/>
                <w:highlight w:val="none"/>
              </w:rPr>
            </w:pPr>
          </w:p>
          <w:p w14:paraId="0FCBB7FB">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vAlign w:val="center"/>
          </w:tcPr>
          <w:p w14:paraId="0E9964AD">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72576182">
            <w:pPr>
              <w:rPr>
                <w:rFonts w:hint="eastAsia" w:ascii="宋体" w:hAnsi="宋体" w:cs="宋体"/>
                <w:color w:val="auto"/>
                <w:szCs w:val="21"/>
                <w:highlight w:val="none"/>
              </w:rPr>
            </w:pPr>
          </w:p>
          <w:p w14:paraId="6B3E2AE8">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6746FAA">
            <w:pPr>
              <w:rPr>
                <w:rFonts w:hint="eastAsia" w:ascii="宋体" w:hAnsi="宋体" w:cs="宋体"/>
                <w:color w:val="auto"/>
                <w:szCs w:val="21"/>
                <w:highlight w:val="none"/>
              </w:rPr>
            </w:pPr>
          </w:p>
          <w:p w14:paraId="16980A53">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225D54EA">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备注：本报告单一式三份（采购人1份、中标人1份、采购代理机构1份）。</w:t>
      </w:r>
    </w:p>
    <w:p w14:paraId="06E5917C">
      <w:pPr>
        <w:jc w:val="left"/>
        <w:rPr>
          <w:rFonts w:hint="eastAsia" w:ascii="宋体" w:hAnsi="宋体" w:cs="宋体"/>
          <w:color w:val="auto"/>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附件II</w:t>
      </w:r>
      <w:r>
        <w:rPr>
          <w:rFonts w:hint="eastAsia" w:ascii="宋体" w:hAnsi="宋体" w:cs="宋体"/>
          <w:b/>
          <w:color w:val="auto"/>
          <w:highlight w:val="none"/>
        </w:rPr>
        <w:t>：</w:t>
      </w:r>
    </w:p>
    <w:p w14:paraId="1D8416AC">
      <w:pPr>
        <w:widowControl/>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rPr>
        <w:t>履约保证金退付意见书</w:t>
      </w:r>
    </w:p>
    <w:tbl>
      <w:tblPr>
        <w:tblStyle w:val="1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FA6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D741592">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5DCD7705">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E3D5BD9">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41279C2C">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7748BF37">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640" w:type="dxa"/>
            <w:vAlign w:val="center"/>
          </w:tcPr>
          <w:p w14:paraId="09907C02">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20B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F93D2D0">
            <w:pPr>
              <w:rPr>
                <w:rFonts w:hint="eastAsia" w:ascii="宋体" w:hAnsi="宋体" w:cs="宋体"/>
                <w:color w:val="auto"/>
                <w:highlight w:val="none"/>
              </w:rPr>
            </w:pPr>
          </w:p>
        </w:tc>
        <w:tc>
          <w:tcPr>
            <w:tcW w:w="8640" w:type="dxa"/>
            <w:vAlign w:val="center"/>
          </w:tcPr>
          <w:p w14:paraId="5424B446">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1728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vAlign w:val="top"/>
          </w:tcPr>
          <w:p w14:paraId="16FF9BBA">
            <w:pPr>
              <w:rPr>
                <w:rFonts w:hint="eastAsia" w:ascii="宋体" w:hAnsi="宋体" w:cs="宋体"/>
                <w:color w:val="auto"/>
                <w:highlight w:val="none"/>
              </w:rPr>
            </w:pPr>
          </w:p>
        </w:tc>
        <w:tc>
          <w:tcPr>
            <w:tcW w:w="8640" w:type="dxa"/>
            <w:vAlign w:val="top"/>
          </w:tcPr>
          <w:p w14:paraId="181CD4F1">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BE201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w:t>
            </w:r>
            <w:r>
              <w:rPr>
                <w:rFonts w:hint="eastAsia" w:ascii="宋体" w:hAnsi="宋体" w:cs="宋体"/>
                <w:color w:val="auto"/>
                <w:szCs w:val="21"/>
                <w:highlight w:val="none"/>
              </w:rPr>
              <w:t>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027054E4">
            <w:pPr>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（小写）退付到达以下帐户。</w:t>
            </w:r>
          </w:p>
          <w:p w14:paraId="1EF74DD7">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单位名称：</w:t>
            </w:r>
          </w:p>
          <w:p w14:paraId="7BBBD193">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开户银行：</w:t>
            </w:r>
          </w:p>
          <w:p w14:paraId="5E042B35">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帐   号：</w:t>
            </w:r>
          </w:p>
          <w:p w14:paraId="0A58FB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0AD28B6B">
            <w:pPr>
              <w:spacing w:line="400" w:lineRule="exact"/>
              <w:rPr>
                <w:rFonts w:hint="eastAsia" w:ascii="宋体" w:hAnsi="宋体" w:cs="宋体"/>
                <w:color w:val="auto"/>
                <w:szCs w:val="21"/>
                <w:highlight w:val="none"/>
              </w:rPr>
            </w:pPr>
          </w:p>
          <w:p w14:paraId="3432674B">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41B4CC49">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37B5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87A70FC">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299FD6F8">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23DC00F6">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468D30D2">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0C0888CE">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6058850A">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640" w:type="dxa"/>
            <w:vAlign w:val="top"/>
          </w:tcPr>
          <w:p w14:paraId="444F7539">
            <w:pPr>
              <w:rPr>
                <w:rFonts w:hint="eastAsia" w:ascii="宋体" w:hAnsi="宋体" w:cs="宋体"/>
                <w:color w:val="auto"/>
                <w:szCs w:val="21"/>
                <w:highlight w:val="none"/>
              </w:rPr>
            </w:pPr>
          </w:p>
          <w:p w14:paraId="2981C3B1">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EC72CE4">
            <w:pPr>
              <w:rPr>
                <w:rFonts w:hint="eastAsia" w:ascii="宋体" w:hAnsi="宋体" w:cs="宋体"/>
                <w:color w:val="auto"/>
                <w:szCs w:val="21"/>
                <w:highlight w:val="none"/>
              </w:rPr>
            </w:pPr>
          </w:p>
          <w:p w14:paraId="44EFCFA9">
            <w:pPr>
              <w:rPr>
                <w:rFonts w:hint="eastAsia" w:ascii="宋体" w:hAnsi="宋体" w:cs="宋体"/>
                <w:color w:val="auto"/>
                <w:szCs w:val="21"/>
                <w:highlight w:val="none"/>
              </w:rPr>
            </w:pPr>
          </w:p>
          <w:p w14:paraId="1A3CD8BD">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联系人及电话：                                 采购单位签章</w:t>
            </w:r>
          </w:p>
          <w:p w14:paraId="68B6E633">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A30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F91871">
            <w:pPr>
              <w:jc w:val="center"/>
              <w:rPr>
                <w:rFonts w:hint="eastAsia" w:ascii="宋体" w:hAnsi="宋体" w:cs="宋体"/>
                <w:color w:val="auto"/>
                <w:szCs w:val="21"/>
                <w:highlight w:val="none"/>
              </w:rPr>
            </w:pPr>
            <w:r>
              <w:rPr>
                <w:rFonts w:hint="eastAsia" w:ascii="宋体" w:hAnsi="宋体" w:cs="宋体"/>
                <w:color w:val="auto"/>
                <w:szCs w:val="21"/>
                <w:highlight w:val="none"/>
              </w:rPr>
              <w:t>财</w:t>
            </w:r>
          </w:p>
          <w:p w14:paraId="394657A5">
            <w:pPr>
              <w:jc w:val="center"/>
              <w:rPr>
                <w:rFonts w:hint="eastAsia" w:ascii="宋体" w:hAnsi="宋体" w:cs="宋体"/>
                <w:color w:val="auto"/>
                <w:szCs w:val="21"/>
                <w:highlight w:val="none"/>
              </w:rPr>
            </w:pPr>
            <w:r>
              <w:rPr>
                <w:rFonts w:hint="eastAsia" w:ascii="宋体" w:hAnsi="宋体" w:cs="宋体"/>
                <w:color w:val="auto"/>
                <w:szCs w:val="21"/>
                <w:highlight w:val="none"/>
              </w:rPr>
              <w:t>务</w:t>
            </w:r>
          </w:p>
          <w:p w14:paraId="1855A35D">
            <w:pPr>
              <w:jc w:val="center"/>
              <w:rPr>
                <w:rFonts w:hint="eastAsia" w:ascii="宋体" w:hAnsi="宋体" w:cs="宋体"/>
                <w:color w:val="auto"/>
                <w:szCs w:val="21"/>
                <w:highlight w:val="none"/>
              </w:rPr>
            </w:pPr>
            <w:r>
              <w:rPr>
                <w:rFonts w:hint="eastAsia" w:ascii="宋体" w:hAnsi="宋体" w:cs="宋体"/>
                <w:color w:val="auto"/>
                <w:szCs w:val="21"/>
                <w:highlight w:val="none"/>
              </w:rPr>
              <w:t>部</w:t>
            </w:r>
          </w:p>
          <w:p w14:paraId="525C8FAA">
            <w:pPr>
              <w:jc w:val="center"/>
              <w:rPr>
                <w:rFonts w:hint="eastAsia" w:ascii="宋体" w:hAnsi="宋体" w:cs="宋体"/>
                <w:color w:val="auto"/>
                <w:szCs w:val="21"/>
                <w:highlight w:val="none"/>
              </w:rPr>
            </w:pPr>
            <w:r>
              <w:rPr>
                <w:rFonts w:hint="eastAsia" w:ascii="宋体" w:hAnsi="宋体" w:cs="宋体"/>
                <w:color w:val="auto"/>
                <w:szCs w:val="21"/>
                <w:highlight w:val="none"/>
              </w:rPr>
              <w:t>门</w:t>
            </w:r>
          </w:p>
          <w:p w14:paraId="5698743A">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36D6DE61">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640" w:type="dxa"/>
            <w:vAlign w:val="top"/>
          </w:tcPr>
          <w:p w14:paraId="6EBD8EFB">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此表于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日收到。</w:t>
            </w:r>
          </w:p>
          <w:p w14:paraId="59FBFCB5">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会计审核：</w:t>
            </w:r>
          </w:p>
          <w:p w14:paraId="72CAA5FD">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财务负责人审核：</w:t>
            </w:r>
          </w:p>
          <w:p w14:paraId="5D37A96D">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单位负责人签字：</w:t>
            </w:r>
          </w:p>
          <w:p w14:paraId="17D5667F">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出纳办理转帐日期：</w:t>
            </w:r>
          </w:p>
        </w:tc>
      </w:tr>
    </w:tbl>
    <w:p w14:paraId="41A735C2">
      <w:pPr>
        <w:spacing w:line="380" w:lineRule="exact"/>
        <w:ind w:left="420" w:leftChars="114" w:hanging="181" w:hangingChars="100"/>
        <w:rPr>
          <w:rFonts w:hint="eastAsia" w:ascii="宋体" w:hAnsi="宋体" w:cs="宋体"/>
          <w:color w:val="auto"/>
          <w:highlight w:val="none"/>
        </w:rPr>
      </w:pPr>
      <w:r>
        <w:rPr>
          <w:rFonts w:hint="eastAsia" w:ascii="宋体" w:hAnsi="宋体" w:cs="宋体"/>
          <w:b/>
          <w:bCs/>
          <w:color w:val="auto"/>
          <w:kern w:val="0"/>
          <w:sz w:val="18"/>
          <w:highlight w:val="none"/>
        </w:rPr>
        <w:t>注：供应商凭经采购单位审批的退付意见书到履约保证金收取单位财务部办理履约保证金退付事宜。</w:t>
      </w:r>
    </w:p>
    <w:p w14:paraId="47AA1DBA">
      <w:pPr>
        <w:widowControl/>
        <w:ind w:firstLine="210" w:firstLineChars="100"/>
        <w:jc w:val="left"/>
        <w:rPr>
          <w:rFonts w:hint="eastAsia" w:ascii="宋体" w:hAnsi="宋体" w:cs="宋体"/>
          <w:color w:val="auto"/>
          <w:kern w:val="0"/>
          <w:szCs w:val="21"/>
          <w:highlight w:val="none"/>
        </w:rPr>
      </w:pPr>
    </w:p>
    <w:p w14:paraId="40BF69ED">
      <w:pPr>
        <w:bidi w:val="0"/>
        <w:jc w:val="center"/>
        <w:rPr>
          <w:rFonts w:hint="eastAsia" w:ascii="宋体" w:hAnsi="宋体" w:cs="宋体"/>
          <w:color w:val="auto"/>
          <w:szCs w:val="20"/>
          <w:highlight w:val="none"/>
        </w:rPr>
      </w:pPr>
      <w:r>
        <w:rPr>
          <w:rFonts w:hint="eastAsia" w:ascii="宋体" w:hAnsi="宋体" w:cs="宋体"/>
          <w:color w:val="auto"/>
          <w:szCs w:val="20"/>
          <w:highlight w:val="none"/>
        </w:rPr>
        <w:br w:type="page"/>
      </w:r>
    </w:p>
    <w:p w14:paraId="4003959F">
      <w:pPr>
        <w:spacing w:line="400" w:lineRule="exact"/>
        <w:jc w:val="center"/>
        <w:rPr>
          <w:rFonts w:hint="eastAsia" w:ascii="宋体" w:hAnsi="宋体" w:cs="宋体"/>
          <w:color w:val="auto"/>
          <w:sz w:val="32"/>
          <w:szCs w:val="32"/>
          <w:highlight w:val="none"/>
        </w:rPr>
      </w:pPr>
    </w:p>
    <w:p w14:paraId="431C40AB">
      <w:pPr>
        <w:spacing w:line="400" w:lineRule="exact"/>
        <w:jc w:val="center"/>
        <w:rPr>
          <w:rFonts w:hint="eastAsia" w:ascii="宋体" w:hAnsi="宋体" w:cs="宋体"/>
          <w:color w:val="auto"/>
          <w:sz w:val="32"/>
          <w:szCs w:val="32"/>
          <w:highlight w:val="none"/>
        </w:rPr>
      </w:pPr>
    </w:p>
    <w:p w14:paraId="26B8C566">
      <w:pPr>
        <w:spacing w:line="400" w:lineRule="exact"/>
        <w:jc w:val="center"/>
        <w:rPr>
          <w:rFonts w:hint="eastAsia" w:ascii="宋体" w:hAnsi="宋体" w:cs="宋体"/>
          <w:color w:val="auto"/>
          <w:sz w:val="32"/>
          <w:szCs w:val="32"/>
          <w:highlight w:val="none"/>
        </w:rPr>
      </w:pPr>
    </w:p>
    <w:p w14:paraId="32FFCBA5">
      <w:pPr>
        <w:spacing w:line="400" w:lineRule="exact"/>
        <w:jc w:val="center"/>
        <w:rPr>
          <w:rFonts w:hint="eastAsia" w:ascii="宋体" w:hAnsi="宋体" w:cs="宋体"/>
          <w:color w:val="auto"/>
          <w:sz w:val="32"/>
          <w:szCs w:val="32"/>
          <w:highlight w:val="none"/>
        </w:rPr>
      </w:pPr>
    </w:p>
    <w:p w14:paraId="14387F54">
      <w:pPr>
        <w:spacing w:line="400" w:lineRule="exact"/>
        <w:jc w:val="center"/>
        <w:rPr>
          <w:rFonts w:hint="eastAsia" w:ascii="宋体" w:hAnsi="宋体" w:cs="宋体"/>
          <w:color w:val="auto"/>
          <w:sz w:val="32"/>
          <w:szCs w:val="32"/>
          <w:highlight w:val="none"/>
        </w:rPr>
      </w:pPr>
    </w:p>
    <w:p w14:paraId="5A3FDCD6">
      <w:pPr>
        <w:spacing w:line="400" w:lineRule="exact"/>
        <w:jc w:val="center"/>
        <w:rPr>
          <w:rFonts w:hint="eastAsia" w:ascii="宋体" w:hAnsi="宋体" w:cs="宋体"/>
          <w:color w:val="auto"/>
          <w:sz w:val="32"/>
          <w:szCs w:val="32"/>
          <w:highlight w:val="none"/>
        </w:rPr>
      </w:pPr>
    </w:p>
    <w:p w14:paraId="4AE4BCFA">
      <w:pPr>
        <w:spacing w:line="400" w:lineRule="exact"/>
        <w:jc w:val="center"/>
        <w:rPr>
          <w:rFonts w:hint="eastAsia" w:ascii="宋体" w:hAnsi="宋体" w:cs="宋体"/>
          <w:color w:val="auto"/>
          <w:sz w:val="32"/>
          <w:szCs w:val="32"/>
          <w:highlight w:val="none"/>
        </w:rPr>
      </w:pPr>
    </w:p>
    <w:p w14:paraId="0C95775D">
      <w:pPr>
        <w:spacing w:line="400" w:lineRule="exact"/>
        <w:jc w:val="center"/>
        <w:rPr>
          <w:rFonts w:hint="eastAsia" w:ascii="宋体" w:hAnsi="宋体" w:cs="宋体"/>
          <w:color w:val="auto"/>
          <w:sz w:val="32"/>
          <w:szCs w:val="32"/>
          <w:highlight w:val="none"/>
        </w:rPr>
      </w:pPr>
    </w:p>
    <w:p w14:paraId="66DE7736">
      <w:pPr>
        <w:spacing w:line="400" w:lineRule="exact"/>
        <w:jc w:val="center"/>
        <w:rPr>
          <w:rFonts w:hint="eastAsia" w:ascii="宋体" w:hAnsi="宋体" w:cs="宋体"/>
          <w:color w:val="auto"/>
          <w:sz w:val="32"/>
          <w:szCs w:val="32"/>
          <w:highlight w:val="none"/>
        </w:rPr>
      </w:pPr>
    </w:p>
    <w:p w14:paraId="175BC1A5">
      <w:pPr>
        <w:spacing w:line="400" w:lineRule="exact"/>
        <w:jc w:val="center"/>
        <w:rPr>
          <w:rFonts w:hint="eastAsia" w:ascii="宋体" w:hAnsi="宋体" w:cs="宋体"/>
          <w:color w:val="auto"/>
          <w:sz w:val="32"/>
          <w:szCs w:val="32"/>
          <w:highlight w:val="none"/>
        </w:rPr>
      </w:pPr>
    </w:p>
    <w:p w14:paraId="40939549">
      <w:pPr>
        <w:spacing w:line="400" w:lineRule="exact"/>
        <w:jc w:val="center"/>
        <w:rPr>
          <w:rFonts w:hint="eastAsia" w:ascii="宋体" w:hAnsi="宋体" w:cs="宋体"/>
          <w:color w:val="auto"/>
          <w:sz w:val="32"/>
          <w:szCs w:val="32"/>
          <w:highlight w:val="none"/>
        </w:rPr>
      </w:pPr>
    </w:p>
    <w:p w14:paraId="171470B4">
      <w:pPr>
        <w:spacing w:line="400" w:lineRule="exact"/>
        <w:jc w:val="center"/>
        <w:rPr>
          <w:rFonts w:hint="eastAsia" w:ascii="宋体" w:hAnsi="宋体" w:cs="宋体"/>
          <w:color w:val="auto"/>
          <w:sz w:val="32"/>
          <w:szCs w:val="32"/>
          <w:highlight w:val="none"/>
        </w:rPr>
      </w:pPr>
    </w:p>
    <w:p w14:paraId="36A959FE">
      <w:pPr>
        <w:pStyle w:val="12"/>
        <w:rPr>
          <w:rFonts w:hint="eastAsia" w:ascii="宋体" w:hAnsi="宋体" w:cs="宋体"/>
          <w:color w:val="auto"/>
          <w:kern w:val="0"/>
          <w:sz w:val="44"/>
          <w:szCs w:val="44"/>
          <w:highlight w:val="none"/>
        </w:rPr>
      </w:pPr>
      <w:bookmarkStart w:id="83" w:name="_Toc476258673"/>
      <w:bookmarkStart w:id="84" w:name="_Toc2132"/>
      <w:r>
        <w:rPr>
          <w:rFonts w:hint="eastAsia" w:ascii="宋体" w:hAnsi="宋体" w:cs="宋体"/>
          <w:color w:val="auto"/>
          <w:kern w:val="0"/>
          <w:sz w:val="44"/>
          <w:szCs w:val="44"/>
          <w:highlight w:val="none"/>
        </w:rPr>
        <w:t>第六章  评标标准</w:t>
      </w:r>
      <w:bookmarkEnd w:id="83"/>
      <w:bookmarkEnd w:id="84"/>
    </w:p>
    <w:p w14:paraId="3EDD2F69">
      <w:pPr>
        <w:pStyle w:val="7"/>
        <w:spacing w:line="440" w:lineRule="exact"/>
        <w:rPr>
          <w:rFonts w:hint="eastAsia" w:hAnsi="宋体" w:cs="宋体"/>
          <w:b/>
          <w:color w:val="auto"/>
          <w:kern w:val="0"/>
          <w:sz w:val="32"/>
          <w:szCs w:val="32"/>
          <w:highlight w:val="none"/>
        </w:rPr>
      </w:pPr>
    </w:p>
    <w:p w14:paraId="4CEDD763">
      <w:pPr>
        <w:pStyle w:val="7"/>
        <w:spacing w:line="440" w:lineRule="exact"/>
        <w:rPr>
          <w:rFonts w:hint="eastAsia" w:hAnsi="宋体" w:cs="宋体"/>
          <w:b/>
          <w:color w:val="auto"/>
          <w:kern w:val="0"/>
          <w:sz w:val="32"/>
          <w:szCs w:val="32"/>
          <w:highlight w:val="none"/>
        </w:rPr>
      </w:pPr>
    </w:p>
    <w:p w14:paraId="6DFAD702">
      <w:pPr>
        <w:pStyle w:val="7"/>
        <w:spacing w:line="440" w:lineRule="exact"/>
        <w:rPr>
          <w:rFonts w:hint="eastAsia" w:hAnsi="宋体" w:cs="宋体"/>
          <w:b/>
          <w:color w:val="auto"/>
          <w:kern w:val="0"/>
          <w:sz w:val="32"/>
          <w:szCs w:val="32"/>
          <w:highlight w:val="none"/>
        </w:rPr>
      </w:pPr>
    </w:p>
    <w:p w14:paraId="5D2F5705">
      <w:pPr>
        <w:pStyle w:val="7"/>
        <w:spacing w:line="440" w:lineRule="exact"/>
        <w:rPr>
          <w:rFonts w:hint="eastAsia" w:hAnsi="宋体" w:cs="宋体"/>
          <w:b/>
          <w:color w:val="auto"/>
          <w:kern w:val="0"/>
          <w:sz w:val="32"/>
          <w:szCs w:val="32"/>
          <w:highlight w:val="none"/>
        </w:rPr>
      </w:pPr>
    </w:p>
    <w:p w14:paraId="230E4640">
      <w:pPr>
        <w:pStyle w:val="7"/>
        <w:spacing w:line="440" w:lineRule="exact"/>
        <w:rPr>
          <w:rFonts w:hint="eastAsia" w:hAnsi="宋体" w:cs="宋体"/>
          <w:b/>
          <w:color w:val="auto"/>
          <w:kern w:val="0"/>
          <w:sz w:val="32"/>
          <w:szCs w:val="32"/>
          <w:highlight w:val="none"/>
        </w:rPr>
      </w:pPr>
    </w:p>
    <w:p w14:paraId="4DACD57A">
      <w:pPr>
        <w:pStyle w:val="7"/>
        <w:spacing w:line="440" w:lineRule="exact"/>
        <w:rPr>
          <w:rFonts w:hint="eastAsia" w:hAnsi="宋体" w:cs="宋体"/>
          <w:b/>
          <w:color w:val="auto"/>
          <w:kern w:val="0"/>
          <w:sz w:val="32"/>
          <w:szCs w:val="32"/>
          <w:highlight w:val="none"/>
        </w:rPr>
      </w:pPr>
    </w:p>
    <w:p w14:paraId="259FEAE8">
      <w:pPr>
        <w:pStyle w:val="7"/>
        <w:spacing w:line="440" w:lineRule="exact"/>
        <w:rPr>
          <w:rFonts w:hint="eastAsia" w:hAnsi="宋体" w:cs="宋体"/>
          <w:b/>
          <w:color w:val="auto"/>
          <w:kern w:val="0"/>
          <w:sz w:val="32"/>
          <w:szCs w:val="32"/>
          <w:highlight w:val="none"/>
        </w:rPr>
      </w:pPr>
    </w:p>
    <w:p w14:paraId="785F9054">
      <w:pPr>
        <w:pStyle w:val="7"/>
        <w:spacing w:line="440" w:lineRule="exact"/>
        <w:rPr>
          <w:rFonts w:hint="eastAsia" w:hAnsi="宋体" w:cs="宋体"/>
          <w:b/>
          <w:color w:val="auto"/>
          <w:kern w:val="0"/>
          <w:sz w:val="32"/>
          <w:szCs w:val="32"/>
          <w:highlight w:val="none"/>
        </w:rPr>
      </w:pPr>
    </w:p>
    <w:p w14:paraId="0E0BCF5D">
      <w:pPr>
        <w:pStyle w:val="7"/>
        <w:spacing w:line="440" w:lineRule="exact"/>
        <w:rPr>
          <w:rFonts w:hint="eastAsia" w:hAnsi="宋体" w:cs="宋体"/>
          <w:b/>
          <w:color w:val="auto"/>
          <w:kern w:val="0"/>
          <w:sz w:val="32"/>
          <w:szCs w:val="32"/>
          <w:highlight w:val="none"/>
        </w:rPr>
      </w:pPr>
    </w:p>
    <w:p w14:paraId="10678D57">
      <w:pPr>
        <w:pStyle w:val="7"/>
        <w:spacing w:line="440" w:lineRule="exact"/>
        <w:rPr>
          <w:rFonts w:hint="eastAsia" w:hAnsi="宋体" w:cs="宋体"/>
          <w:b/>
          <w:color w:val="auto"/>
          <w:kern w:val="0"/>
          <w:sz w:val="32"/>
          <w:szCs w:val="32"/>
          <w:highlight w:val="none"/>
        </w:rPr>
      </w:pPr>
    </w:p>
    <w:p w14:paraId="2DF48697">
      <w:pPr>
        <w:pStyle w:val="7"/>
        <w:spacing w:line="440" w:lineRule="exact"/>
        <w:rPr>
          <w:rFonts w:hint="eastAsia" w:hAnsi="宋体" w:cs="宋体"/>
          <w:b/>
          <w:color w:val="auto"/>
          <w:kern w:val="0"/>
          <w:highlight w:val="none"/>
        </w:rPr>
      </w:pPr>
    </w:p>
    <w:p w14:paraId="0E3718B9">
      <w:pPr>
        <w:pStyle w:val="7"/>
        <w:jc w:val="center"/>
        <w:rPr>
          <w:rFonts w:hint="eastAsia" w:hAnsi="宋体" w:cs="宋体"/>
          <w:b/>
          <w:color w:val="auto"/>
          <w:kern w:val="0"/>
          <w:sz w:val="32"/>
          <w:szCs w:val="32"/>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评标标准</w:t>
      </w:r>
    </w:p>
    <w:p w14:paraId="61163EB2">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一、评标原则</w:t>
      </w:r>
    </w:p>
    <w:p w14:paraId="723FE663">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02B3E863">
      <w:pPr>
        <w:spacing w:line="360" w:lineRule="exact"/>
        <w:rPr>
          <w:rFonts w:hint="eastAsia" w:ascii="宋体" w:hAnsi="宋体" w:cs="宋体"/>
          <w:b/>
          <w:color w:val="auto"/>
          <w:highlight w:val="none"/>
        </w:rPr>
      </w:pPr>
      <w:r>
        <w:rPr>
          <w:rFonts w:hint="eastAsia" w:ascii="宋体" w:hAnsi="宋体" w:cs="宋体"/>
          <w:bCs/>
          <w:color w:val="auto"/>
          <w:szCs w:val="21"/>
          <w:highlight w:val="none"/>
        </w:rPr>
        <w:t xml:space="preserve">    （二）评标依据：评委将以竞争性磋商文件和竞争性磋商响应文件为评标依据，对供应商的报价、技术、</w:t>
      </w:r>
      <w:r>
        <w:rPr>
          <w:rFonts w:hint="eastAsia" w:ascii="宋体" w:hAnsi="宋体" w:cs="宋体"/>
          <w:bCs/>
          <w:color w:val="auto"/>
          <w:szCs w:val="21"/>
          <w:highlight w:val="none"/>
          <w:lang w:val="en-US" w:eastAsia="zh-CN"/>
        </w:rPr>
        <w:t>商务</w:t>
      </w:r>
      <w:r>
        <w:rPr>
          <w:rFonts w:hint="eastAsia" w:ascii="宋体" w:hAnsi="宋体" w:cs="宋体"/>
          <w:bCs/>
          <w:color w:val="auto"/>
          <w:szCs w:val="21"/>
          <w:highlight w:val="none"/>
        </w:rPr>
        <w:t>等内容按百分制打分。</w:t>
      </w:r>
    </w:p>
    <w:p w14:paraId="60A6C629">
      <w:pPr>
        <w:pStyle w:val="10"/>
        <w:spacing w:line="36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45C29389">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二、评标方法</w:t>
      </w:r>
    </w:p>
    <w:p w14:paraId="13399F6E">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（一）对进入详评的，采用综合评分法。</w:t>
      </w:r>
    </w:p>
    <w:p w14:paraId="275881DB">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（二）计分办法（按四舍五入取至百分位）：</w:t>
      </w:r>
    </w:p>
    <w:tbl>
      <w:tblPr>
        <w:tblStyle w:val="1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002"/>
        <w:gridCol w:w="1137"/>
      </w:tblGrid>
      <w:tr w14:paraId="3ECD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62CB4D50">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序号</w:t>
            </w:r>
          </w:p>
        </w:tc>
        <w:tc>
          <w:tcPr>
            <w:tcW w:w="1418" w:type="dxa"/>
            <w:vAlign w:val="center"/>
          </w:tcPr>
          <w:p w14:paraId="584B440A">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6002" w:type="dxa"/>
            <w:vAlign w:val="center"/>
          </w:tcPr>
          <w:p w14:paraId="0E159476">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评审因素具体内容</w:t>
            </w:r>
          </w:p>
        </w:tc>
        <w:tc>
          <w:tcPr>
            <w:tcW w:w="1137" w:type="dxa"/>
            <w:vAlign w:val="center"/>
          </w:tcPr>
          <w:p w14:paraId="11E3C45C">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分值</w:t>
            </w:r>
          </w:p>
        </w:tc>
      </w:tr>
      <w:tr w14:paraId="30F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3" w:type="dxa"/>
            <w:vAlign w:val="center"/>
          </w:tcPr>
          <w:p w14:paraId="1C0ED22C">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1418" w:type="dxa"/>
            <w:vAlign w:val="center"/>
          </w:tcPr>
          <w:p w14:paraId="0A2D2987">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价格分</w:t>
            </w:r>
          </w:p>
        </w:tc>
        <w:tc>
          <w:tcPr>
            <w:tcW w:w="6002" w:type="dxa"/>
            <w:vAlign w:val="top"/>
          </w:tcPr>
          <w:p w14:paraId="082F17DD">
            <w:pPr>
              <w:pStyle w:val="7"/>
              <w:spacing w:line="360" w:lineRule="exact"/>
              <w:ind w:firstLine="420" w:firstLineChars="200"/>
              <w:rPr>
                <w:rFonts w:hint="eastAsia" w:hAnsi="宋体" w:cs="宋体"/>
                <w:bCs/>
                <w:color w:val="auto"/>
                <w:kern w:val="0"/>
                <w:highlight w:val="none"/>
              </w:rPr>
            </w:pPr>
            <w:r>
              <w:rPr>
                <w:rFonts w:hint="eastAsia" w:hAnsi="宋体" w:cs="宋体"/>
                <w:bCs/>
                <w:color w:val="auto"/>
                <w:kern w:val="0"/>
                <w:highlight w:val="none"/>
              </w:rPr>
              <w:t>（</w:t>
            </w:r>
            <w:r>
              <w:rPr>
                <w:rFonts w:hint="eastAsia" w:hAnsi="宋体" w:cs="宋体"/>
                <w:bCs/>
                <w:color w:val="auto"/>
                <w:kern w:val="0"/>
                <w:highlight w:val="none"/>
                <w:lang w:val="en-US" w:eastAsia="zh-CN"/>
              </w:rPr>
              <w:t>1</w:t>
            </w:r>
            <w:r>
              <w:rPr>
                <w:rFonts w:hint="eastAsia" w:hAnsi="宋体" w:cs="宋体"/>
                <w:bCs/>
                <w:color w:val="auto"/>
                <w:kern w:val="0"/>
                <w:highlight w:val="none"/>
              </w:rPr>
              <w:t>）以进入评审的最低的</w:t>
            </w:r>
            <w:r>
              <w:rPr>
                <w:rFonts w:hint="eastAsia" w:hAnsi="宋体" w:cs="宋体"/>
                <w:bCs/>
                <w:color w:val="auto"/>
                <w:kern w:val="0"/>
                <w:highlight w:val="none"/>
                <w:lang w:val="en-US" w:eastAsia="zh-CN"/>
              </w:rPr>
              <w:t>最终报价</w:t>
            </w:r>
            <w:r>
              <w:rPr>
                <w:rFonts w:hint="eastAsia" w:hAnsi="宋体" w:cs="宋体"/>
                <w:bCs/>
                <w:color w:val="auto"/>
                <w:kern w:val="0"/>
                <w:highlight w:val="none"/>
              </w:rPr>
              <w:t>为</w:t>
            </w:r>
            <w:r>
              <w:rPr>
                <w:rFonts w:hint="eastAsia" w:hAnsi="宋体" w:cs="宋体"/>
                <w:bCs/>
                <w:color w:val="auto"/>
                <w:kern w:val="0"/>
                <w:highlight w:val="none"/>
                <w:lang w:val="en-US" w:eastAsia="zh-CN"/>
              </w:rPr>
              <w:t>20</w:t>
            </w:r>
            <w:r>
              <w:rPr>
                <w:rFonts w:hint="eastAsia" w:hAnsi="宋体" w:cs="宋体"/>
                <w:bCs/>
                <w:color w:val="auto"/>
                <w:kern w:val="0"/>
                <w:highlight w:val="none"/>
              </w:rPr>
              <w:t>分。</w:t>
            </w:r>
          </w:p>
          <w:p w14:paraId="34429E16">
            <w:pPr>
              <w:spacing w:line="360" w:lineRule="exact"/>
              <w:ind w:firstLine="420" w:firstLineChars="200"/>
              <w:rPr>
                <w:rFonts w:hint="eastAsia" w:eastAsia="宋体"/>
                <w:color w:val="auto"/>
                <w:highlight w:val="none"/>
                <w:lang w:eastAsia="zh-CN"/>
              </w:rPr>
            </w:pPr>
            <w:r>
              <w:rPr>
                <w:rFonts w:hint="eastAsia" w:ascii="宋体" w:hAnsi="宋体" w:cs="宋体"/>
                <w:bCs/>
                <w:color w:val="auto"/>
                <w:kern w:val="0"/>
                <w:highlight w:val="none"/>
              </w:rPr>
              <w:t>（</w:t>
            </w:r>
            <w:r>
              <w:rPr>
                <w:rFonts w:hint="eastAsia" w:ascii="宋体" w:hAnsi="宋体" w:cs="宋体"/>
                <w:bCs/>
                <w:color w:val="auto"/>
                <w:kern w:val="0"/>
                <w:highlight w:val="none"/>
                <w:lang w:val="en-US" w:eastAsia="zh-CN"/>
              </w:rPr>
              <w:t>2</w:t>
            </w:r>
            <w:r>
              <w:rPr>
                <w:rFonts w:hint="eastAsia" w:ascii="宋体" w:hAnsi="宋体" w:cs="宋体"/>
                <w:bCs/>
                <w:color w:val="auto"/>
                <w:kern w:val="0"/>
                <w:highlight w:val="none"/>
              </w:rPr>
              <w:t>）某供应商价格分 = 供应商最低</w:t>
            </w:r>
            <w:r>
              <w:rPr>
                <w:rFonts w:hint="eastAsia" w:hAnsi="宋体" w:cs="宋体"/>
                <w:bCs/>
                <w:color w:val="auto"/>
                <w:kern w:val="0"/>
                <w:highlight w:val="none"/>
                <w:lang w:val="en-US" w:eastAsia="zh-CN"/>
              </w:rPr>
              <w:t>最终报价</w:t>
            </w:r>
            <w:r>
              <w:rPr>
                <w:rFonts w:hint="eastAsia" w:ascii="宋体" w:hAnsi="宋体" w:cs="宋体"/>
                <w:bCs/>
                <w:color w:val="auto"/>
                <w:kern w:val="0"/>
                <w:highlight w:val="none"/>
              </w:rPr>
              <w:t>（金额）/某供应商</w:t>
            </w:r>
            <w:r>
              <w:rPr>
                <w:rFonts w:hint="eastAsia" w:hAnsi="宋体" w:cs="宋体"/>
                <w:bCs/>
                <w:color w:val="auto"/>
                <w:kern w:val="0"/>
                <w:highlight w:val="none"/>
                <w:lang w:val="en-US" w:eastAsia="zh-CN"/>
              </w:rPr>
              <w:t>最终报价</w:t>
            </w:r>
            <w:r>
              <w:rPr>
                <w:rFonts w:hint="eastAsia" w:ascii="宋体" w:hAnsi="宋体" w:cs="宋体"/>
                <w:bCs/>
                <w:color w:val="auto"/>
                <w:kern w:val="0"/>
                <w:highlight w:val="none"/>
              </w:rPr>
              <w:t>（金额）×</w:t>
            </w:r>
            <w:r>
              <w:rPr>
                <w:rFonts w:hint="eastAsia" w:ascii="宋体" w:hAnsi="宋体" w:cs="宋体"/>
                <w:bCs/>
                <w:color w:val="auto"/>
                <w:kern w:val="0"/>
                <w:highlight w:val="none"/>
                <w:lang w:val="en-US" w:eastAsia="zh-CN"/>
              </w:rPr>
              <w:t>20</w:t>
            </w:r>
            <w:r>
              <w:rPr>
                <w:rFonts w:hint="eastAsia" w:ascii="宋体" w:hAnsi="宋体" w:cs="宋体"/>
                <w:bCs/>
                <w:color w:val="auto"/>
                <w:kern w:val="0"/>
                <w:highlight w:val="none"/>
              </w:rPr>
              <w:t>分</w:t>
            </w:r>
          </w:p>
        </w:tc>
        <w:tc>
          <w:tcPr>
            <w:tcW w:w="1137" w:type="dxa"/>
            <w:vAlign w:val="center"/>
          </w:tcPr>
          <w:p w14:paraId="5403ACF2">
            <w:pPr>
              <w:widowControl/>
              <w:spacing w:line="360" w:lineRule="auto"/>
              <w:jc w:val="center"/>
              <w:rPr>
                <w:rFonts w:ascii="Times New Roman" w:hAnsi="Times New Roman" w:cs="Times New Roman"/>
                <w:color w:val="auto"/>
                <w:kern w:val="0"/>
                <w:szCs w:val="21"/>
                <w:highlight w:val="none"/>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r>
      <w:tr w14:paraId="3CD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33" w:type="dxa"/>
            <w:vAlign w:val="center"/>
          </w:tcPr>
          <w:p w14:paraId="6A829881">
            <w:pPr>
              <w:widowControl/>
              <w:spacing w:line="360" w:lineRule="auto"/>
              <w:jc w:val="center"/>
              <w:rPr>
                <w:rFonts w:hint="default" w:ascii="Times New Roman" w:hAnsi="Times New Roman" w:cs="Times New Roman"/>
                <w:b/>
                <w:bCs w:val="0"/>
                <w:color w:val="auto"/>
                <w:kern w:val="0"/>
                <w:szCs w:val="21"/>
                <w:highlight w:val="none"/>
              </w:rPr>
            </w:pPr>
            <w:r>
              <w:rPr>
                <w:rFonts w:hint="default" w:ascii="Times New Roman" w:hAnsi="Times New Roman" w:cs="Times New Roman"/>
                <w:b/>
                <w:bCs w:val="0"/>
                <w:color w:val="auto"/>
                <w:kern w:val="0"/>
                <w:szCs w:val="21"/>
                <w:highlight w:val="none"/>
              </w:rPr>
              <w:t>2</w:t>
            </w:r>
          </w:p>
        </w:tc>
        <w:tc>
          <w:tcPr>
            <w:tcW w:w="1418" w:type="dxa"/>
            <w:vAlign w:val="center"/>
          </w:tcPr>
          <w:p w14:paraId="1863AAAD">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技术分</w:t>
            </w:r>
          </w:p>
        </w:tc>
        <w:tc>
          <w:tcPr>
            <w:tcW w:w="6002" w:type="dxa"/>
            <w:vAlign w:val="center"/>
          </w:tcPr>
          <w:p w14:paraId="06AAC116">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评审因素</w:t>
            </w:r>
          </w:p>
        </w:tc>
        <w:tc>
          <w:tcPr>
            <w:tcW w:w="1137" w:type="dxa"/>
            <w:vAlign w:val="center"/>
          </w:tcPr>
          <w:p w14:paraId="42EF25B7">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color w:val="auto"/>
                <w:kern w:val="0"/>
                <w:szCs w:val="21"/>
                <w:highlight w:val="none"/>
                <w:lang w:val="en-US" w:eastAsia="zh-CN"/>
              </w:rPr>
              <w:t>满分</w:t>
            </w:r>
            <w:r>
              <w:rPr>
                <w:rFonts w:hint="eastAsia" w:cs="Times New Roman"/>
                <w:b/>
                <w:bCs w:val="0"/>
                <w:color w:val="auto"/>
                <w:kern w:val="0"/>
                <w:szCs w:val="21"/>
                <w:highlight w:val="none"/>
                <w:lang w:val="en-US" w:eastAsia="zh-CN"/>
              </w:rPr>
              <w:t>68</w:t>
            </w:r>
            <w:r>
              <w:rPr>
                <w:rFonts w:hint="default" w:ascii="Times New Roman" w:hAnsi="Times New Roman" w:eastAsia="宋体" w:cs="Times New Roman"/>
                <w:b/>
                <w:bCs w:val="0"/>
                <w:color w:val="auto"/>
                <w:kern w:val="0"/>
                <w:szCs w:val="21"/>
                <w:highlight w:val="none"/>
                <w:lang w:val="en-US" w:eastAsia="zh-CN"/>
              </w:rPr>
              <w:t>分</w:t>
            </w:r>
          </w:p>
        </w:tc>
      </w:tr>
      <w:tr w14:paraId="63A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4130449E">
            <w:pPr>
              <w:adjustRightInd w:val="0"/>
              <w:spacing w:line="360" w:lineRule="auto"/>
              <w:ind w:left="-105" w:leftChars="-50" w:right="-105" w:rightChars="-50"/>
              <w:jc w:val="center"/>
              <w:textAlignment w:val="baseline"/>
              <w:rPr>
                <w:rFonts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w:t>
            </w:r>
            <w:r>
              <w:rPr>
                <w:rFonts w:ascii="Times New Roman" w:hAnsi="Times New Roman" w:cs="Times New Roman"/>
                <w:bCs/>
                <w:color w:val="auto"/>
                <w:kern w:val="0"/>
                <w:szCs w:val="21"/>
                <w:highlight w:val="none"/>
              </w:rPr>
              <w:t>.1</w:t>
            </w:r>
          </w:p>
        </w:tc>
        <w:tc>
          <w:tcPr>
            <w:tcW w:w="1418" w:type="dxa"/>
            <w:vAlign w:val="center"/>
          </w:tcPr>
          <w:p w14:paraId="31803467">
            <w:pPr>
              <w:spacing w:line="360" w:lineRule="auto"/>
              <w:jc w:val="center"/>
              <w:rPr>
                <w:rFonts w:hint="default" w:ascii="Times New Roman" w:hAnsi="Times New Roman" w:cs="Times New Roman"/>
                <w:bCs/>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bidi="ar"/>
              </w:rPr>
              <w:t>技术方案分</w:t>
            </w:r>
          </w:p>
        </w:tc>
        <w:tc>
          <w:tcPr>
            <w:tcW w:w="6002" w:type="dxa"/>
            <w:vAlign w:val="top"/>
          </w:tcPr>
          <w:p w14:paraId="3A6B7C44">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一档(7分)：对功能的描述与需求对比无缺漏，具备基本实施计划和人员配备，且并非直接复制需求内容。</w:t>
            </w:r>
          </w:p>
          <w:p w14:paraId="7C306BE7">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二档(14分)：在一档基础上，通过对项目相关业务规范、技术标准的解读以及对采购人业务需求的分析，形成项目建设方案，详细阐述系统的架构设计、适配设计、新增功能模块应用设计、数据库及存储设计、网络安全体系设计。对系统适配、开发、部署实施、数据迁移等能提出工作方案和应急解决方案，确保系统运行稳定，迁移数据完整、准确。</w:t>
            </w:r>
          </w:p>
          <w:p w14:paraId="09488106">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三档(21分)：在二档基础上，对本项目在信创技术应用方面有详细描述，包括但不限于系统开发软件、基础软件（包括操作系统、数据库、中间件等）选型，适配技术方案制定、适配工作计划等。</w:t>
            </w:r>
          </w:p>
          <w:p w14:paraId="4D4D73D1">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四档（28分）：在三档基础上，综合考虑本项目业务数据的特殊性，详细描述项目开发及实施过程中对数据的安全保护措施及所采用的商用密码技术，如：对身份证号码等个人隐私信息、敏感数据在存储、传输、应用中采用的保护方式；用户身份认证鉴别方式等。</w:t>
            </w:r>
          </w:p>
        </w:tc>
        <w:tc>
          <w:tcPr>
            <w:tcW w:w="1137" w:type="dxa"/>
            <w:vAlign w:val="center"/>
          </w:tcPr>
          <w:p w14:paraId="5B8D99B6">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 w:val="21"/>
                <w:szCs w:val="21"/>
                <w:highlight w:val="none"/>
                <w:lang w:val="en-US" w:eastAsia="zh-CN" w:bidi="ar-SA"/>
              </w:rPr>
              <w:t>28</w:t>
            </w:r>
            <w:r>
              <w:rPr>
                <w:rFonts w:hint="eastAsia" w:ascii="Times New Roman" w:hAnsi="Times New Roman" w:cs="Times New Roman"/>
                <w:color w:val="auto"/>
                <w:kern w:val="0"/>
                <w:sz w:val="21"/>
                <w:szCs w:val="21"/>
                <w:highlight w:val="none"/>
                <w:lang w:val="en-US" w:eastAsia="zh-CN" w:bidi="ar-SA"/>
              </w:rPr>
              <w:t>分</w:t>
            </w:r>
          </w:p>
        </w:tc>
      </w:tr>
      <w:tr w14:paraId="69A7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1E68AC86">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cs="Times New Roman"/>
                <w:bCs/>
                <w:color w:val="auto"/>
                <w:kern w:val="0"/>
                <w:szCs w:val="21"/>
                <w:highlight w:val="none"/>
                <w:lang w:val="en-US" w:eastAsia="zh-CN"/>
              </w:rPr>
              <w:t>2.2</w:t>
            </w:r>
          </w:p>
        </w:tc>
        <w:tc>
          <w:tcPr>
            <w:tcW w:w="1418" w:type="dxa"/>
            <w:vAlign w:val="center"/>
          </w:tcPr>
          <w:p w14:paraId="07A50899">
            <w:pPr>
              <w:adjustRightInd w:val="0"/>
              <w:snapToGrid w:val="0"/>
              <w:spacing w:line="360" w:lineRule="auto"/>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实施方案分</w:t>
            </w:r>
          </w:p>
        </w:tc>
        <w:tc>
          <w:tcPr>
            <w:tcW w:w="6002" w:type="dxa"/>
            <w:vAlign w:val="center"/>
          </w:tcPr>
          <w:p w14:paraId="30B8B8B1">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档（8分）：磋商供应商根据项目需求编制有实施方案，主要包括系统适配开发、实施部署、数据迁移、业务切换四部分内容的介绍，以及详细的实施流程，包括各阶段任务，系统开发、测试及上线实施进度安排计划表等内容。</w:t>
            </w:r>
          </w:p>
          <w:p w14:paraId="3A997617">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二档（16分）：在一档基础上，方案还应具有管理制度，包括项目实施团队管理、应急响应预案、技术培训、文档管理措施等。</w:t>
            </w:r>
          </w:p>
          <w:p w14:paraId="2EA3BCC5">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档（24分）：在二档基础上，对管理制度、实施部署进行了细化,明确项目实施团队中的岗位设置、岗位职责和人员配置，有针对性的制定实施团队与采购人之间的沟通和协作机制,依据业务特性制定业务切换工作方案,及应急预案。</w:t>
            </w:r>
          </w:p>
        </w:tc>
        <w:tc>
          <w:tcPr>
            <w:tcW w:w="1137" w:type="dxa"/>
            <w:vAlign w:val="center"/>
          </w:tcPr>
          <w:p w14:paraId="2D2F2C87">
            <w:pPr>
              <w:spacing w:line="360" w:lineRule="auto"/>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Cs w:val="21"/>
                <w:highlight w:val="none"/>
                <w:lang w:val="en-US" w:eastAsia="zh-CN"/>
              </w:rPr>
              <w:t>24</w:t>
            </w:r>
            <w:r>
              <w:rPr>
                <w:rFonts w:hint="eastAsia" w:ascii="Times New Roman" w:hAnsi="Times New Roman" w:cs="Times New Roman"/>
                <w:color w:val="auto"/>
                <w:kern w:val="0"/>
                <w:szCs w:val="21"/>
                <w:highlight w:val="none"/>
                <w:lang w:val="en-US" w:eastAsia="zh-CN"/>
              </w:rPr>
              <w:t>分</w:t>
            </w:r>
          </w:p>
        </w:tc>
      </w:tr>
      <w:tr w14:paraId="730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B519C84">
            <w:pPr>
              <w:adjustRightInd w:val="0"/>
              <w:spacing w:line="360" w:lineRule="auto"/>
              <w:ind w:left="-105" w:leftChars="-50" w:right="-105" w:rightChars="-50"/>
              <w:jc w:val="center"/>
              <w:textAlignment w:val="baseline"/>
              <w:rPr>
                <w:rFonts w:hint="eastAsia" w:ascii="Times New Roman" w:hAnsi="Times New Roman" w:eastAsia="宋体" w:cs="Times New Roman"/>
                <w:bCs/>
                <w:color w:val="auto"/>
                <w:kern w:val="0"/>
                <w:sz w:val="21"/>
                <w:szCs w:val="21"/>
                <w:highlight w:val="none"/>
                <w:lang w:val="en-US" w:eastAsia="zh-CN" w:bidi="ar-SA"/>
              </w:rPr>
            </w:pPr>
            <w:r>
              <w:rPr>
                <w:rFonts w:ascii="Times New Roman" w:hAnsi="Times New Roman" w:cs="Times New Roman"/>
                <w:bCs/>
                <w:color w:val="auto"/>
                <w:kern w:val="0"/>
                <w:szCs w:val="21"/>
                <w:highlight w:val="none"/>
              </w:rPr>
              <w:t>2.</w:t>
            </w:r>
            <w:r>
              <w:rPr>
                <w:rFonts w:hint="eastAsia" w:ascii="Times New Roman" w:hAnsi="Times New Roman" w:cs="Times New Roman"/>
                <w:bCs/>
                <w:color w:val="auto"/>
                <w:kern w:val="0"/>
                <w:szCs w:val="21"/>
                <w:highlight w:val="none"/>
                <w:lang w:val="en-US" w:eastAsia="zh-CN"/>
              </w:rPr>
              <w:t>3</w:t>
            </w:r>
          </w:p>
        </w:tc>
        <w:tc>
          <w:tcPr>
            <w:tcW w:w="1418" w:type="dxa"/>
            <w:vAlign w:val="center"/>
          </w:tcPr>
          <w:p w14:paraId="670939BA">
            <w:pPr>
              <w:spacing w:line="360" w:lineRule="exact"/>
              <w:jc w:val="center"/>
              <w:rPr>
                <w:rFonts w:hint="default" w:ascii="宋体" w:hAnsi="宋体" w:cs="宋体"/>
                <w:bCs/>
                <w:color w:val="auto"/>
                <w:kern w:val="2"/>
                <w:sz w:val="21"/>
                <w:szCs w:val="21"/>
                <w:highlight w:val="none"/>
                <w:lang w:val="en-US" w:eastAsia="zh-CN" w:bidi="ar-SA"/>
              </w:rPr>
            </w:pPr>
            <w:r>
              <w:rPr>
                <w:rFonts w:hint="default" w:ascii="宋体" w:hAnsi="宋体" w:cs="宋体"/>
                <w:bCs/>
                <w:color w:val="auto"/>
                <w:kern w:val="2"/>
                <w:sz w:val="21"/>
                <w:szCs w:val="21"/>
                <w:highlight w:val="none"/>
                <w:lang w:val="en-US" w:eastAsia="zh-CN" w:bidi="ar-SA"/>
              </w:rPr>
              <w:t>售后服务方案分</w:t>
            </w:r>
          </w:p>
        </w:tc>
        <w:tc>
          <w:tcPr>
            <w:tcW w:w="6002" w:type="dxa"/>
            <w:vAlign w:val="center"/>
          </w:tcPr>
          <w:p w14:paraId="65935332">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 xml:space="preserve">一档（2分）：供应商具有完善的售后服务方案，有规范、标准的售后服务管理流程和售后服务质量监督机制，包括故障排除、问题解答、软件更新、定期巡检、培训支持等基本内容，不能直接复制粘贴其他售后服务方案，在服务期内能根据方案无偏离提供售后服务。 </w:t>
            </w:r>
          </w:p>
          <w:p w14:paraId="3F1D5F18">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 xml:space="preserve">二档（4分）：在一档基础上，具有专门的售后服务部门，并设有服务热线或网站、微信或QQ等服务平台（需提供相关服务平台的截图加盖供应商公章）；具有快速响应需求能力，设有专门的技术服务团队，应答响应时间优于采购需求，能配合用户安排的各种安全检查、演练、评测等工作。 </w:t>
            </w:r>
          </w:p>
          <w:p w14:paraId="162163F4">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三档（6分）：在二档基础上，供应商在1年免费维护期内，承诺能根据安全部门安全的扫描漏洞及时提供配合修复和升级服务。</w:t>
            </w:r>
          </w:p>
        </w:tc>
        <w:tc>
          <w:tcPr>
            <w:tcW w:w="1137" w:type="dxa"/>
            <w:vAlign w:val="center"/>
          </w:tcPr>
          <w:p w14:paraId="3463E7DD">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 w:val="21"/>
                <w:szCs w:val="21"/>
                <w:highlight w:val="none"/>
                <w:lang w:val="en-US" w:eastAsia="zh-CN" w:bidi="ar-SA"/>
              </w:rPr>
              <w:t>6</w:t>
            </w:r>
            <w:r>
              <w:rPr>
                <w:rFonts w:hint="default" w:ascii="Times New Roman" w:hAnsi="Times New Roman" w:cs="Times New Roman"/>
                <w:color w:val="auto"/>
                <w:kern w:val="0"/>
                <w:szCs w:val="21"/>
                <w:highlight w:val="none"/>
              </w:rPr>
              <w:t>分</w:t>
            </w:r>
          </w:p>
        </w:tc>
      </w:tr>
      <w:tr w14:paraId="3AA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0652AF40">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2.4</w:t>
            </w:r>
          </w:p>
        </w:tc>
        <w:tc>
          <w:tcPr>
            <w:tcW w:w="1418" w:type="dxa"/>
            <w:vAlign w:val="center"/>
          </w:tcPr>
          <w:p w14:paraId="073F889B">
            <w:pPr>
              <w:spacing w:line="360" w:lineRule="exact"/>
              <w:jc w:val="center"/>
              <w:rPr>
                <w:rFonts w:hint="eastAsia" w:ascii="宋体" w:hAnsi="宋体" w:eastAsia="宋体"/>
                <w:color w:val="auto"/>
                <w:szCs w:val="21"/>
                <w:highlight w:val="none"/>
                <w:lang w:eastAsia="zh-CN"/>
              </w:rPr>
            </w:pPr>
            <w:r>
              <w:rPr>
                <w:rFonts w:hint="eastAsia" w:ascii="宋体" w:hAnsi="宋体" w:cs="宋体"/>
                <w:b/>
                <w:bCs/>
                <w:color w:val="auto"/>
                <w:szCs w:val="21"/>
                <w:highlight w:val="none"/>
                <w:lang w:bidi="ar"/>
              </w:rPr>
              <w:t>项目团队能力分</w:t>
            </w:r>
          </w:p>
        </w:tc>
        <w:tc>
          <w:tcPr>
            <w:tcW w:w="6002" w:type="dxa"/>
            <w:vAlign w:val="center"/>
          </w:tcPr>
          <w:p w14:paraId="11D0D4F4">
            <w:pPr>
              <w:pStyle w:val="3"/>
              <w:keepNext w:val="0"/>
              <w:keepLines w:val="0"/>
              <w:pageBreakBefore w:val="0"/>
              <w:kinsoku/>
              <w:wordWrap/>
              <w:overflowPunct/>
              <w:topLinePunct w:val="0"/>
              <w:autoSpaceDE/>
              <w:autoSpaceDN/>
              <w:bidi w:val="0"/>
              <w:snapToGrid/>
              <w:spacing w:line="360" w:lineRule="exact"/>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（1）承诺在每个项目阶段内，投入项目的管理人员至少有1人具有人力资源和社会保障部门颁发的信息系统项目管理师（高级）证书的，得3分。</w:t>
            </w:r>
          </w:p>
          <w:p w14:paraId="47420E7C">
            <w:pPr>
              <w:pStyle w:val="3"/>
              <w:keepNext w:val="0"/>
              <w:keepLines w:val="0"/>
              <w:pageBreakBefore w:val="0"/>
              <w:kinsoku/>
              <w:wordWrap/>
              <w:overflowPunct/>
              <w:topLinePunct w:val="0"/>
              <w:autoSpaceDE/>
              <w:autoSpaceDN/>
              <w:bidi w:val="0"/>
              <w:snapToGrid/>
              <w:spacing w:line="360" w:lineRule="exact"/>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2）承诺在升级开发阶段投入项目的团队人员（管理人员除外）中，具有人力资源和社会保障部门颁发的计算机软件专业或信息系统专业的高级工程师证书（系统分析师、系统架构设计师、系统规划与管理师三类）</w:t>
            </w:r>
            <w:r>
              <w:rPr>
                <w:rFonts w:hint="eastAsia" w:cs="Times New Roman"/>
                <w:color w:val="auto"/>
                <w:kern w:val="0"/>
                <w:sz w:val="21"/>
                <w:szCs w:val="21"/>
                <w:highlight w:val="none"/>
                <w:lang w:val="en-US" w:eastAsia="zh-CN" w:bidi="ar-SA"/>
              </w:rPr>
              <w:t>或</w:t>
            </w:r>
            <w:r>
              <w:rPr>
                <w:rFonts w:hint="eastAsia" w:ascii="Times New Roman" w:hAnsi="Times New Roman" w:cs="Times New Roman"/>
                <w:color w:val="auto"/>
                <w:kern w:val="0"/>
                <w:sz w:val="21"/>
                <w:szCs w:val="21"/>
                <w:highlight w:val="none"/>
                <w:lang w:val="en-US" w:eastAsia="zh-CN" w:bidi="ar-SA"/>
              </w:rPr>
              <w:t>中级工程师证书（软件设计师、软件评测师、系统集成项目管理工程师、数据库系统工程师、信息系统管理工程师、信息安全工程师六类）的，高级证书每类最多1人，每1人得2分，最多4分；中级证书每类最多1人，每1人得1分，最多3分(一人多证的，以其中最高得分的1本证书计）。（满分7分）</w:t>
            </w:r>
          </w:p>
        </w:tc>
        <w:tc>
          <w:tcPr>
            <w:tcW w:w="1137" w:type="dxa"/>
            <w:vAlign w:val="center"/>
          </w:tcPr>
          <w:p w14:paraId="267D8FC9">
            <w:pPr>
              <w:rPr>
                <w:rFonts w:hint="default" w:eastAsia="宋体"/>
                <w:color w:val="auto"/>
                <w:highlight w:val="none"/>
                <w:lang w:val="en-US" w:eastAsia="zh-CN"/>
              </w:rPr>
            </w:pPr>
            <w:r>
              <w:rPr>
                <w:rFonts w:hint="eastAsia" w:ascii="Times New Roman" w:hAnsi="Times New Roman" w:cs="Times New Roman"/>
                <w:color w:val="auto"/>
                <w:kern w:val="0"/>
                <w:sz w:val="21"/>
                <w:szCs w:val="21"/>
                <w:highlight w:val="none"/>
                <w:lang w:val="en-US" w:eastAsia="zh-CN" w:bidi="ar-SA"/>
              </w:rPr>
              <w:t>满分1</w:t>
            </w:r>
            <w:r>
              <w:rPr>
                <w:rFonts w:hint="eastAsia" w:ascii="Times New Roman" w:hAnsi="Times New Roman" w:cs="Times New Roman"/>
                <w:color w:val="auto"/>
                <w:kern w:val="0"/>
                <w:szCs w:val="21"/>
                <w:highlight w:val="none"/>
                <w:lang w:val="en-US" w:eastAsia="zh-CN"/>
              </w:rPr>
              <w:t>0</w:t>
            </w:r>
            <w:r>
              <w:rPr>
                <w:rFonts w:hint="default" w:ascii="Times New Roman" w:hAnsi="Times New Roman" w:cs="Times New Roman"/>
                <w:color w:val="auto"/>
                <w:kern w:val="0"/>
                <w:szCs w:val="21"/>
                <w:highlight w:val="none"/>
              </w:rPr>
              <w:t>分</w:t>
            </w:r>
          </w:p>
        </w:tc>
      </w:tr>
      <w:tr w14:paraId="1211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29C0553E">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3</w:t>
            </w:r>
          </w:p>
        </w:tc>
        <w:tc>
          <w:tcPr>
            <w:tcW w:w="1418" w:type="dxa"/>
            <w:vAlign w:val="center"/>
          </w:tcPr>
          <w:p w14:paraId="31ACDD25">
            <w:pPr>
              <w:widowControl/>
              <w:spacing w:line="360" w:lineRule="auto"/>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商务分</w:t>
            </w:r>
          </w:p>
        </w:tc>
        <w:tc>
          <w:tcPr>
            <w:tcW w:w="6002" w:type="dxa"/>
            <w:vAlign w:val="center"/>
          </w:tcPr>
          <w:p w14:paraId="30DB0103">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1137" w:type="dxa"/>
            <w:vAlign w:val="center"/>
          </w:tcPr>
          <w:p w14:paraId="6A0103D6">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满分</w:t>
            </w:r>
            <w:r>
              <w:rPr>
                <w:rFonts w:hint="eastAsia" w:cs="Times New Roman"/>
                <w:b/>
                <w:bCs w:val="0"/>
                <w:color w:val="auto"/>
                <w:kern w:val="0"/>
                <w:szCs w:val="21"/>
                <w:highlight w:val="none"/>
                <w:lang w:val="en-US" w:eastAsia="zh-CN"/>
              </w:rPr>
              <w:t>12</w:t>
            </w:r>
            <w:r>
              <w:rPr>
                <w:rFonts w:hint="default" w:ascii="Times New Roman" w:hAnsi="Times New Roman" w:eastAsia="宋体" w:cs="Times New Roman"/>
                <w:b/>
                <w:bCs w:val="0"/>
                <w:color w:val="auto"/>
                <w:kern w:val="0"/>
                <w:szCs w:val="21"/>
                <w:highlight w:val="none"/>
                <w:lang w:val="en-US" w:eastAsia="zh-CN"/>
              </w:rPr>
              <w:t>分</w:t>
            </w:r>
          </w:p>
        </w:tc>
      </w:tr>
      <w:tr w14:paraId="2B0C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3C8AC8C8">
            <w:pPr>
              <w:widowControl/>
              <w:spacing w:line="360" w:lineRule="auto"/>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3.1</w:t>
            </w:r>
          </w:p>
        </w:tc>
        <w:tc>
          <w:tcPr>
            <w:tcW w:w="1418" w:type="dxa"/>
            <w:vAlign w:val="center"/>
          </w:tcPr>
          <w:p w14:paraId="21EA029A">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信誉分</w:t>
            </w:r>
          </w:p>
        </w:tc>
        <w:tc>
          <w:tcPr>
            <w:tcW w:w="6002" w:type="dxa"/>
            <w:vAlign w:val="top"/>
          </w:tcPr>
          <w:p w14:paraId="16817726">
            <w:pPr>
              <w:spacing w:line="36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供应商通过 IS0 9001 质量体系认证</w:t>
            </w:r>
            <w:r>
              <w:rPr>
                <w:rFonts w:hint="eastAsia" w:ascii="宋体" w:hAnsi="宋体" w:eastAsia="宋体" w:cs="宋体"/>
                <w:bCs/>
                <w:color w:val="auto"/>
                <w:kern w:val="0"/>
                <w:sz w:val="21"/>
                <w:szCs w:val="21"/>
                <w:highlight w:val="none"/>
                <w:lang w:val="en-US" w:eastAsia="zh-CN" w:bidi="ar-SA"/>
              </w:rPr>
              <w:t>、</w:t>
            </w:r>
            <w:r>
              <w:rPr>
                <w:rFonts w:hint="default" w:ascii="宋体" w:hAnsi="宋体" w:eastAsia="宋体" w:cs="宋体"/>
                <w:bCs/>
                <w:color w:val="auto"/>
                <w:kern w:val="0"/>
                <w:sz w:val="21"/>
                <w:szCs w:val="21"/>
                <w:highlight w:val="none"/>
                <w:lang w:val="en-US" w:eastAsia="zh-CN" w:bidi="ar-SA"/>
              </w:rPr>
              <w:t>信息技术服务管理体系认证、信息安全管理体系认证的，每具有 1 个证书得</w:t>
            </w:r>
            <w:r>
              <w:rPr>
                <w:rFonts w:hint="eastAsia" w:ascii="宋体" w:hAnsi="宋体" w:cs="宋体"/>
                <w:bCs/>
                <w:color w:val="auto"/>
                <w:kern w:val="0"/>
                <w:sz w:val="21"/>
                <w:szCs w:val="21"/>
                <w:highlight w:val="none"/>
                <w:lang w:val="en-US" w:eastAsia="zh-CN" w:bidi="ar-SA"/>
              </w:rPr>
              <w:t>2</w:t>
            </w:r>
            <w:r>
              <w:rPr>
                <w:rFonts w:hint="default" w:ascii="宋体" w:hAnsi="宋体" w:eastAsia="宋体" w:cs="宋体"/>
                <w:bCs/>
                <w:color w:val="auto"/>
                <w:kern w:val="0"/>
                <w:sz w:val="21"/>
                <w:szCs w:val="21"/>
                <w:highlight w:val="none"/>
                <w:lang w:val="en-US" w:eastAsia="zh-CN" w:bidi="ar-SA"/>
              </w:rPr>
              <w:t xml:space="preserve">分，满分 </w:t>
            </w:r>
            <w:r>
              <w:rPr>
                <w:rFonts w:hint="eastAsia" w:ascii="宋体" w:hAnsi="宋体" w:cs="宋体"/>
                <w:bCs/>
                <w:color w:val="auto"/>
                <w:kern w:val="0"/>
                <w:sz w:val="21"/>
                <w:szCs w:val="21"/>
                <w:highlight w:val="none"/>
                <w:lang w:val="en-US" w:eastAsia="zh-CN" w:bidi="ar-SA"/>
              </w:rPr>
              <w:t xml:space="preserve">6 </w:t>
            </w:r>
            <w:r>
              <w:rPr>
                <w:rFonts w:hint="default" w:ascii="宋体" w:hAnsi="宋体" w:eastAsia="宋体" w:cs="宋体"/>
                <w:bCs/>
                <w:color w:val="auto"/>
                <w:kern w:val="0"/>
                <w:sz w:val="21"/>
                <w:szCs w:val="21"/>
                <w:highlight w:val="none"/>
                <w:lang w:val="en-US" w:eastAsia="zh-CN" w:bidi="ar-SA"/>
              </w:rPr>
              <w:t>分。（响应文件中提供相应有效的证书复印件并加盖供应商公章，否则不得分。）</w:t>
            </w:r>
          </w:p>
        </w:tc>
        <w:tc>
          <w:tcPr>
            <w:tcW w:w="1137" w:type="dxa"/>
            <w:vAlign w:val="center"/>
          </w:tcPr>
          <w:p w14:paraId="4814D2AA">
            <w:pPr>
              <w:widowControl/>
              <w:spacing w:line="360" w:lineRule="auto"/>
              <w:jc w:val="center"/>
              <w:rPr>
                <w:rFonts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1C37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vAlign w:val="center"/>
          </w:tcPr>
          <w:p w14:paraId="18F770BE">
            <w:pPr>
              <w:spacing w:line="360" w:lineRule="auto"/>
              <w:jc w:val="center"/>
              <w:rPr>
                <w:rFonts w:hint="default"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3.2</w:t>
            </w:r>
          </w:p>
        </w:tc>
        <w:tc>
          <w:tcPr>
            <w:tcW w:w="1418" w:type="dxa"/>
            <w:vAlign w:val="center"/>
          </w:tcPr>
          <w:p w14:paraId="3D943A82">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项目业绩分</w:t>
            </w:r>
          </w:p>
        </w:tc>
        <w:tc>
          <w:tcPr>
            <w:tcW w:w="6002" w:type="dxa"/>
            <w:vAlign w:val="top"/>
          </w:tcPr>
          <w:p w14:paraId="544CC08F">
            <w:pPr>
              <w:spacing w:line="360" w:lineRule="auto"/>
              <w:ind w:firstLine="420" w:firstLineChars="200"/>
              <w:rPr>
                <w:rFonts w:hint="default" w:ascii="Times New Roman" w:hAnsi="Times New Roman" w:eastAsia="宋体" w:cs="Times New Roman"/>
                <w:bCs/>
                <w:color w:val="auto"/>
                <w:szCs w:val="21"/>
                <w:highlight w:val="none"/>
                <w:lang w:eastAsia="zh-CN"/>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完成同类项目业绩的，每提供一份得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highlight w:val="none"/>
              </w:rPr>
              <w:t>【提供合同原件扫描件或中标（成交）通知书扫描件且能体现承接内容的】</w:t>
            </w:r>
          </w:p>
        </w:tc>
        <w:tc>
          <w:tcPr>
            <w:tcW w:w="1137" w:type="dxa"/>
            <w:vAlign w:val="center"/>
          </w:tcPr>
          <w:p w14:paraId="0460C070">
            <w:pPr>
              <w:widowControl/>
              <w:spacing w:line="360" w:lineRule="auto"/>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5839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3" w:type="dxa"/>
            <w:gridSpan w:val="3"/>
            <w:vAlign w:val="top"/>
          </w:tcPr>
          <w:p w14:paraId="4BEA05D0">
            <w:pPr>
              <w:pStyle w:val="7"/>
              <w:spacing w:line="360" w:lineRule="auto"/>
              <w:ind w:firstLine="420" w:firstLineChars="200"/>
              <w:rPr>
                <w:rFonts w:ascii="Times New Roman" w:hAnsi="Times New Roman" w:cs="Times New Roman"/>
                <w:bCs/>
                <w:color w:val="auto"/>
                <w:kern w:val="2"/>
                <w:sz w:val="21"/>
                <w:highlight w:val="none"/>
                <w:lang w:val="en-US" w:eastAsia="zh-CN"/>
              </w:rPr>
            </w:pPr>
            <w:r>
              <w:rPr>
                <w:rFonts w:hint="default" w:ascii="Times New Roman" w:hAnsi="Times New Roman" w:cs="Times New Roman"/>
                <w:bCs/>
                <w:color w:val="auto"/>
                <w:kern w:val="2"/>
                <w:sz w:val="21"/>
                <w:highlight w:val="none"/>
                <w:lang w:val="en-US" w:eastAsia="zh-CN"/>
              </w:rPr>
              <w:t>总得分＝1＋2＋3</w:t>
            </w:r>
          </w:p>
        </w:tc>
        <w:tc>
          <w:tcPr>
            <w:tcW w:w="1137" w:type="dxa"/>
            <w:vAlign w:val="center"/>
          </w:tcPr>
          <w:p w14:paraId="560B692D">
            <w:pPr>
              <w:widowControl/>
              <w:spacing w:line="360" w:lineRule="auto"/>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100分</w:t>
            </w:r>
          </w:p>
        </w:tc>
      </w:tr>
    </w:tbl>
    <w:p w14:paraId="1728C190">
      <w:pPr>
        <w:rPr>
          <w:rFonts w:hint="eastAsia"/>
          <w:color w:val="auto"/>
          <w:highlight w:val="none"/>
        </w:rPr>
      </w:pPr>
    </w:p>
    <w:p w14:paraId="382A4EC2">
      <w:pPr>
        <w:spacing w:line="360" w:lineRule="exact"/>
        <w:rPr>
          <w:rFonts w:hint="eastAsia" w:ascii="宋体" w:hAnsi="宋体" w:cs="宋体"/>
          <w:b/>
          <w:color w:val="auto"/>
          <w:szCs w:val="21"/>
          <w:highlight w:val="none"/>
        </w:rPr>
      </w:pPr>
    </w:p>
    <w:p w14:paraId="5CF1A028">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三、成交候选供应商推荐原则</w:t>
      </w:r>
    </w:p>
    <w:p w14:paraId="375345C0">
      <w:pPr>
        <w:pStyle w:val="7"/>
        <w:spacing w:line="360" w:lineRule="exact"/>
        <w:rPr>
          <w:rFonts w:hint="eastAsia" w:hAnsi="宋体" w:cs="宋体"/>
          <w:color w:val="auto"/>
          <w:highlight w:val="none"/>
        </w:rPr>
      </w:pPr>
      <w:r>
        <w:rPr>
          <w:rFonts w:hint="eastAsia" w:hAnsi="宋体" w:cs="宋体"/>
          <w:b/>
          <w:color w:val="auto"/>
          <w:highlight w:val="none"/>
        </w:rPr>
        <w:t xml:space="preserve">    </w:t>
      </w:r>
      <w:r>
        <w:rPr>
          <w:rFonts w:hint="eastAsia" w:hAnsi="宋体" w:cs="宋体"/>
          <w:color w:val="auto"/>
          <w:highlight w:val="none"/>
        </w:rPr>
        <w:t>（一）磋商小组将根据得分由高到低排列次序（得分相同时，以磋商报价</w:t>
      </w:r>
      <w:r>
        <w:rPr>
          <w:rFonts w:hint="eastAsia" w:hAnsi="宋体" w:cs="宋体"/>
          <w:b/>
          <w:color w:val="auto"/>
          <w:highlight w:val="none"/>
        </w:rPr>
        <w:t>由低到高</w:t>
      </w:r>
      <w:r>
        <w:rPr>
          <w:rFonts w:hint="eastAsia" w:hAnsi="宋体" w:cs="宋体"/>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5B44155C">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4AFBDD6">
      <w:pPr>
        <w:bidi w:val="0"/>
        <w:rPr>
          <w:rFonts w:hint="eastAsia"/>
          <w:color w:val="auto"/>
          <w:highlight w:val="none"/>
        </w:rPr>
      </w:pPr>
      <w:r>
        <w:rPr>
          <w:rFonts w:hint="eastAsia" w:ascii="宋体" w:hAnsi="宋体" w:cs="宋体"/>
          <w:color w:val="auto"/>
          <w:szCs w:val="21"/>
          <w:highlight w:val="none"/>
        </w:rPr>
        <w:br w:type="page"/>
      </w:r>
      <w:bookmarkStart w:id="85" w:name="_Toc5953"/>
    </w:p>
    <w:p w14:paraId="1363D7B3">
      <w:pPr>
        <w:bidi w:val="0"/>
        <w:rPr>
          <w:rFonts w:hint="eastAsia"/>
          <w:color w:val="auto"/>
          <w:highlight w:val="none"/>
        </w:rPr>
      </w:pPr>
    </w:p>
    <w:p w14:paraId="76B28BB3">
      <w:pPr>
        <w:bidi w:val="0"/>
        <w:rPr>
          <w:rFonts w:hint="eastAsia"/>
          <w:color w:val="auto"/>
          <w:highlight w:val="none"/>
        </w:rPr>
      </w:pPr>
    </w:p>
    <w:p w14:paraId="627BC391">
      <w:pPr>
        <w:bidi w:val="0"/>
        <w:rPr>
          <w:rFonts w:hint="eastAsia"/>
          <w:color w:val="auto"/>
          <w:highlight w:val="none"/>
        </w:rPr>
      </w:pPr>
    </w:p>
    <w:p w14:paraId="38A19652">
      <w:pPr>
        <w:bidi w:val="0"/>
        <w:rPr>
          <w:rFonts w:hint="eastAsia"/>
          <w:color w:val="auto"/>
          <w:highlight w:val="none"/>
        </w:rPr>
      </w:pPr>
    </w:p>
    <w:p w14:paraId="2D2C7138">
      <w:pPr>
        <w:bidi w:val="0"/>
        <w:rPr>
          <w:rFonts w:hint="eastAsia"/>
          <w:color w:val="auto"/>
          <w:highlight w:val="none"/>
        </w:rPr>
      </w:pPr>
    </w:p>
    <w:p w14:paraId="26FCE495">
      <w:pPr>
        <w:bidi w:val="0"/>
        <w:rPr>
          <w:rFonts w:hint="eastAsia"/>
          <w:color w:val="auto"/>
          <w:highlight w:val="none"/>
        </w:rPr>
      </w:pPr>
    </w:p>
    <w:p w14:paraId="38004688">
      <w:pPr>
        <w:bidi w:val="0"/>
        <w:rPr>
          <w:rFonts w:hint="eastAsia"/>
          <w:color w:val="auto"/>
          <w:highlight w:val="none"/>
        </w:rPr>
      </w:pPr>
    </w:p>
    <w:p w14:paraId="378D9E79">
      <w:pPr>
        <w:bidi w:val="0"/>
        <w:rPr>
          <w:rFonts w:hint="eastAsia"/>
          <w:color w:val="auto"/>
          <w:highlight w:val="none"/>
        </w:rPr>
      </w:pPr>
    </w:p>
    <w:p w14:paraId="5AA6D480">
      <w:pPr>
        <w:bidi w:val="0"/>
        <w:rPr>
          <w:rFonts w:hint="eastAsia"/>
          <w:color w:val="auto"/>
          <w:highlight w:val="none"/>
        </w:rPr>
      </w:pPr>
    </w:p>
    <w:p w14:paraId="6E02B859">
      <w:pPr>
        <w:bidi w:val="0"/>
        <w:rPr>
          <w:rFonts w:hint="eastAsia"/>
          <w:color w:val="auto"/>
          <w:highlight w:val="none"/>
        </w:rPr>
      </w:pPr>
    </w:p>
    <w:p w14:paraId="34AB83AC">
      <w:pPr>
        <w:bidi w:val="0"/>
        <w:rPr>
          <w:rFonts w:hint="eastAsia"/>
          <w:color w:val="auto"/>
          <w:highlight w:val="none"/>
        </w:rPr>
      </w:pPr>
    </w:p>
    <w:p w14:paraId="285C962F">
      <w:pPr>
        <w:bidi w:val="0"/>
        <w:rPr>
          <w:rFonts w:hint="eastAsia"/>
          <w:color w:val="auto"/>
          <w:highlight w:val="none"/>
        </w:rPr>
      </w:pPr>
    </w:p>
    <w:p w14:paraId="25055F77">
      <w:pPr>
        <w:bidi w:val="0"/>
        <w:rPr>
          <w:rFonts w:hint="eastAsia"/>
          <w:color w:val="auto"/>
          <w:highlight w:val="none"/>
        </w:rPr>
      </w:pPr>
    </w:p>
    <w:p w14:paraId="1420D34C">
      <w:pPr>
        <w:bidi w:val="0"/>
        <w:rPr>
          <w:rFonts w:hint="eastAsia"/>
          <w:color w:val="auto"/>
          <w:highlight w:val="none"/>
        </w:rPr>
      </w:pPr>
    </w:p>
    <w:p w14:paraId="2BC25DED">
      <w:pPr>
        <w:pStyle w:val="12"/>
        <w:rPr>
          <w:rFonts w:hint="eastAsia" w:ascii="宋体" w:hAnsi="宋体" w:eastAsia="宋体" w:cs="宋体"/>
          <w:b/>
          <w:bCs/>
          <w:color w:val="auto"/>
          <w:kern w:val="0"/>
          <w:sz w:val="44"/>
          <w:szCs w:val="44"/>
          <w:highlight w:val="none"/>
        </w:rPr>
      </w:pPr>
      <w:bookmarkStart w:id="86" w:name="_Toc11493"/>
      <w:r>
        <w:rPr>
          <w:rFonts w:hint="eastAsia" w:ascii="宋体" w:hAnsi="宋体" w:eastAsia="宋体" w:cs="宋体"/>
          <w:b/>
          <w:bCs/>
          <w:color w:val="auto"/>
          <w:kern w:val="0"/>
          <w:sz w:val="44"/>
          <w:szCs w:val="44"/>
          <w:highlight w:val="none"/>
        </w:rPr>
        <w:t xml:space="preserve">第七章 </w:t>
      </w:r>
      <w:r>
        <w:rPr>
          <w:rFonts w:hint="eastAsia" w:ascii="宋体" w:hAnsi="宋体" w:eastAsia="宋体" w:cs="宋体"/>
          <w:b/>
          <w:bCs/>
          <w:color w:val="auto"/>
          <w:kern w:val="0"/>
          <w:sz w:val="44"/>
          <w:szCs w:val="44"/>
          <w:highlight w:val="none"/>
          <w:lang w:val="en-US" w:eastAsia="zh-CN"/>
        </w:rPr>
        <w:t xml:space="preserve"> </w:t>
      </w:r>
      <w:r>
        <w:rPr>
          <w:rFonts w:hint="eastAsia" w:ascii="宋体" w:hAnsi="宋体" w:eastAsia="宋体" w:cs="宋体"/>
          <w:b/>
          <w:bCs/>
          <w:color w:val="auto"/>
          <w:kern w:val="0"/>
          <w:sz w:val="44"/>
          <w:szCs w:val="44"/>
          <w:highlight w:val="none"/>
        </w:rPr>
        <w:t>质疑、投诉材料格式</w:t>
      </w:r>
      <w:bookmarkEnd w:id="85"/>
      <w:bookmarkEnd w:id="86"/>
    </w:p>
    <w:p w14:paraId="2ACF36A3">
      <w:pPr>
        <w:spacing w:line="576" w:lineRule="auto"/>
        <w:rPr>
          <w:rFonts w:hint="eastAsia" w:ascii="宋体" w:hAnsi="宋体" w:cs="宋体"/>
          <w:b/>
          <w:bCs/>
          <w:color w:val="auto"/>
          <w:kern w:val="44"/>
          <w:sz w:val="44"/>
          <w:szCs w:val="44"/>
          <w:highlight w:val="none"/>
          <w:lang w:bidi="ar"/>
        </w:rPr>
        <w:sectPr>
          <w:footerReference r:id="rId3" w:type="default"/>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434C727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18B78DE3">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F564C90">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68007">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6A4A15C">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A4FA3D">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417E058">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1AFB1F1">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866D89A">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3B1754A5">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1845ABAF">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F90F2C0">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5D0529D9">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56B0447">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D693629">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73B60462">
      <w:pPr>
        <w:pStyle w:val="7"/>
        <w:widowControl/>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63E5D813">
      <w:pPr>
        <w:pStyle w:val="7"/>
        <w:widowControl/>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4E346860">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BB6F19C">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0A82B3C">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D9BA23A">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223FB735">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4607269F">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7E0E1DE7">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0F5FD25">
      <w:pPr>
        <w:pStyle w:val="7"/>
        <w:widowControl/>
        <w:spacing w:line="360" w:lineRule="auto"/>
        <w:ind w:left="25" w:leftChars="12" w:firstLine="352" w:firstLineChars="147"/>
        <w:contextualSpacing/>
        <w:rPr>
          <w:rFonts w:hint="eastAsia" w:hAnsi="宋体" w:cs="宋体"/>
          <w:color w:val="auto"/>
          <w:sz w:val="24"/>
          <w:szCs w:val="24"/>
          <w:highlight w:val="none"/>
        </w:rPr>
      </w:pPr>
    </w:p>
    <w:p w14:paraId="0E53022B">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439A9EFD">
      <w:pPr>
        <w:pStyle w:val="7"/>
        <w:widowControl/>
        <w:spacing w:line="360" w:lineRule="auto"/>
        <w:ind w:left="25" w:leftChars="12" w:firstLine="352" w:firstLineChars="147"/>
        <w:contextualSpacing/>
        <w:rPr>
          <w:rFonts w:hint="eastAsia" w:hAnsi="宋体" w:cs="宋体"/>
          <w:color w:val="auto"/>
          <w:sz w:val="24"/>
          <w:szCs w:val="24"/>
          <w:highlight w:val="none"/>
        </w:rPr>
      </w:pPr>
    </w:p>
    <w:p w14:paraId="14DCF2C9">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084C1B73">
      <w:pPr>
        <w:pStyle w:val="7"/>
        <w:widowControl/>
        <w:spacing w:line="360" w:lineRule="auto"/>
        <w:rPr>
          <w:rFonts w:hint="eastAsia" w:hAnsi="宋体" w:cs="宋体"/>
          <w:b/>
          <w:color w:val="auto"/>
          <w:sz w:val="24"/>
          <w:szCs w:val="24"/>
          <w:highlight w:val="none"/>
        </w:rPr>
      </w:pPr>
    </w:p>
    <w:p w14:paraId="13F3401B">
      <w:pPr>
        <w:pStyle w:val="7"/>
        <w:widowControl/>
        <w:spacing w:line="360" w:lineRule="auto"/>
        <w:rPr>
          <w:rFonts w:hint="eastAsia" w:hAnsi="宋体" w:cs="宋体"/>
          <w:b/>
          <w:color w:val="auto"/>
          <w:sz w:val="24"/>
          <w:szCs w:val="24"/>
          <w:highlight w:val="none"/>
        </w:rPr>
      </w:pPr>
    </w:p>
    <w:p w14:paraId="346E91B6">
      <w:pPr>
        <w:pStyle w:val="7"/>
        <w:widowControl/>
        <w:spacing w:line="360" w:lineRule="auto"/>
        <w:rPr>
          <w:rFonts w:hint="eastAsia" w:hAnsi="宋体" w:cs="宋体"/>
          <w:b/>
          <w:color w:val="auto"/>
          <w:sz w:val="24"/>
          <w:szCs w:val="24"/>
          <w:highlight w:val="none"/>
        </w:rPr>
        <w:sectPr>
          <w:footerReference r:id="rId6" w:type="first"/>
          <w:footerReference r:id="rId4" w:type="default"/>
          <w:footerReference r:id="rId5" w:type="even"/>
          <w:pgSz w:w="11906" w:h="16838"/>
          <w:pgMar w:top="1134" w:right="1417" w:bottom="1134" w:left="1417" w:header="851" w:footer="992" w:gutter="0"/>
          <w:pgNumType w:fmt="decimal"/>
          <w:cols w:space="720" w:num="1"/>
          <w:docGrid w:type="lines" w:linePitch="312" w:charSpace="0"/>
        </w:sectPr>
      </w:pPr>
    </w:p>
    <w:p w14:paraId="026BE52E">
      <w:pPr>
        <w:pStyle w:val="7"/>
        <w:widowControl/>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12077063">
      <w:pPr>
        <w:pStyle w:val="7"/>
        <w:widowControl/>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99F80F0">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7AD103">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13D7383">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A12D239">
      <w:pPr>
        <w:pStyle w:val="7"/>
        <w:widowControl/>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145DA1">
      <w:pPr>
        <w:pStyle w:val="7"/>
        <w:widowControl/>
        <w:snapToGrid w:val="0"/>
        <w:rPr>
          <w:rFonts w:hint="eastAsia" w:hAnsi="宋体" w:cs="宋体"/>
          <w:b/>
          <w:color w:val="auto"/>
          <w:sz w:val="24"/>
          <w:szCs w:val="24"/>
          <w:highlight w:val="none"/>
        </w:rPr>
      </w:pPr>
    </w:p>
    <w:p w14:paraId="5B0C278E">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lang w:bidi="ar"/>
        </w:rPr>
        <w:br w:type="page"/>
      </w:r>
    </w:p>
    <w:p w14:paraId="66F8DC2F">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投诉书（格式）</w:t>
      </w:r>
    </w:p>
    <w:p w14:paraId="28D4EE0A">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B85C083">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8859B3">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968209">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1250657">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F1B57B0">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884726C">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909DE56">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26A010">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63C9741B">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00F9F5D">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CE1C37">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F3706C">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66995CB">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43E56D98">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D9B0656">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5EC0245">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005A2F">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6824BF93">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587AF705">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C125225">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634AC386">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B752E6C">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竞争性磋商公告：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3AE6310">
      <w:pPr>
        <w:pStyle w:val="7"/>
        <w:widowControl/>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D5D71C6">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562A7B63">
      <w:pPr>
        <w:pStyle w:val="7"/>
        <w:widowControl/>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37DE5AE">
      <w:pPr>
        <w:pStyle w:val="7"/>
        <w:widowControl/>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B531D1A">
      <w:pPr>
        <w:pStyle w:val="7"/>
        <w:widowControl/>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C95AADB">
      <w:pPr>
        <w:pStyle w:val="7"/>
        <w:widowControl/>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DF48D89">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350D3660">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1C1F35D">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256A06D">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246D2E69">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9EDC5A0">
      <w:pPr>
        <w:pStyle w:val="7"/>
        <w:widowControl/>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C8BF9F2">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2AA9151">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46D196BA">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E4EBC2C">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6B103A6">
      <w:pPr>
        <w:pStyle w:val="7"/>
        <w:widowControl/>
        <w:spacing w:line="360" w:lineRule="auto"/>
        <w:ind w:left="25" w:leftChars="12" w:firstLine="352" w:firstLineChars="147"/>
        <w:rPr>
          <w:rFonts w:hint="eastAsia" w:hAnsi="宋体" w:cs="宋体"/>
          <w:color w:val="auto"/>
          <w:sz w:val="24"/>
          <w:szCs w:val="24"/>
          <w:highlight w:val="none"/>
        </w:rPr>
      </w:pPr>
    </w:p>
    <w:p w14:paraId="39D6ECB8">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1BC1E519">
      <w:pPr>
        <w:pStyle w:val="7"/>
        <w:widowControl/>
        <w:spacing w:line="360" w:lineRule="auto"/>
        <w:ind w:left="25" w:leftChars="12" w:firstLine="352" w:firstLineChars="147"/>
        <w:rPr>
          <w:rFonts w:hint="eastAsia" w:hAnsi="宋体" w:cs="宋体"/>
          <w:color w:val="auto"/>
          <w:sz w:val="24"/>
          <w:szCs w:val="24"/>
          <w:highlight w:val="none"/>
        </w:rPr>
      </w:pPr>
    </w:p>
    <w:p w14:paraId="370849CC">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62F0FC3D">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290FD63C">
      <w:pPr>
        <w:pStyle w:val="7"/>
        <w:widowControl/>
        <w:snapToGrid w:val="0"/>
        <w:spacing w:line="360" w:lineRule="auto"/>
        <w:rPr>
          <w:rFonts w:hint="eastAsia" w:hAnsi="宋体" w:cs="宋体"/>
          <w:b/>
          <w:color w:val="auto"/>
          <w:sz w:val="24"/>
          <w:szCs w:val="24"/>
          <w:highlight w:val="none"/>
        </w:rPr>
      </w:pPr>
    </w:p>
    <w:p w14:paraId="62F7D39A">
      <w:pPr>
        <w:pStyle w:val="7"/>
        <w:widowControl/>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617BE71E">
      <w:pPr>
        <w:pStyle w:val="7"/>
        <w:widowControl/>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D48375E">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66CC79">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F45A407">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2DEBEFF">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1AE8EFA">
      <w:pPr>
        <w:pStyle w:val="7"/>
        <w:widowControl/>
        <w:spacing w:line="360" w:lineRule="auto"/>
        <w:ind w:left="25" w:leftChars="12" w:firstLine="354" w:firstLineChars="147"/>
        <w:rPr>
          <w:rFonts w:hint="eastAsia" w:ascii="宋体" w:hAnsi="宋体" w:cs="宋体"/>
          <w:color w:val="auto"/>
          <w:szCs w:val="21"/>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CFB90A">
      <w:pPr>
        <w:rPr>
          <w:color w:val="auto"/>
          <w:highlight w:val="none"/>
        </w:rPr>
      </w:pPr>
    </w:p>
    <w:sectPr>
      <w:footerReference r:id="rId8" w:type="first"/>
      <w:footerReference r:id="rId7" w:type="default"/>
      <w:pgSz w:w="11906" w:h="16838"/>
      <w:pgMar w:top="1134" w:right="1417" w:bottom="1134"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2EB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6287A35">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36287A3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BA8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B64B70">
                          <w:pPr>
                            <w:pStyle w:val="8"/>
                            <w:rPr>
                              <w:rStyle w:val="15"/>
                            </w:rPr>
                          </w:pPr>
                          <w:r>
                            <w:fldChar w:fldCharType="begin"/>
                          </w:r>
                          <w:r>
                            <w:rPr>
                              <w:rStyle w:val="15"/>
                            </w:rPr>
                            <w:instrText xml:space="preserve">PAGE  </w:instrText>
                          </w:r>
                          <w:r>
                            <w:fldChar w:fldCharType="separate"/>
                          </w:r>
                          <w:r>
                            <w:rPr>
                              <w:rStyle w:val="15"/>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4B64B70">
                    <w:pPr>
                      <w:pStyle w:val="8"/>
                      <w:rPr>
                        <w:rStyle w:val="15"/>
                      </w:rPr>
                    </w:pPr>
                    <w:r>
                      <w:fldChar w:fldCharType="begin"/>
                    </w:r>
                    <w:r>
                      <w:rPr>
                        <w:rStyle w:val="15"/>
                      </w:rPr>
                      <w:instrText xml:space="preserve">PAGE  </w:instrText>
                    </w:r>
                    <w:r>
                      <w:fldChar w:fldCharType="separate"/>
                    </w:r>
                    <w:r>
                      <w:rPr>
                        <w:rStyle w:val="15"/>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B88D">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2E2E4B2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B3FD">
    <w:pPr>
      <w:pStyle w:val="8"/>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C53A78">
                          <w:pPr>
                            <w:pStyle w:val="8"/>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5BC53A78">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71BC">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A6239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AA6239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FFFD">
    <w:pPr>
      <w:pStyle w:val="8"/>
      <w:ind w:right="360"/>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1AF39D">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651AF39D">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896BC"/>
    <w:multiLevelType w:val="singleLevel"/>
    <w:tmpl w:val="E1E896BC"/>
    <w:lvl w:ilvl="0" w:tentative="0">
      <w:start w:val="5"/>
      <w:numFmt w:val="chineseCounting"/>
      <w:suff w:val="nothing"/>
      <w:lvlText w:val="%1、"/>
      <w:lvlJc w:val="left"/>
      <w:rPr>
        <w:rFonts w:hint="eastAsia"/>
      </w:rPr>
    </w:lvl>
  </w:abstractNum>
  <w:abstractNum w:abstractNumId="1">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D1871"/>
    <w:rsid w:val="064C7020"/>
    <w:rsid w:val="08071A24"/>
    <w:rsid w:val="0C9E491B"/>
    <w:rsid w:val="2B69251F"/>
    <w:rsid w:val="2E2E745B"/>
    <w:rsid w:val="39A94D46"/>
    <w:rsid w:val="440651A1"/>
    <w:rsid w:val="56AA5540"/>
    <w:rsid w:val="57C91E84"/>
    <w:rsid w:val="6028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4">
    <w:name w:val="Body Text Indent"/>
    <w:basedOn w:val="1"/>
    <w:next w:val="5"/>
    <w:qFormat/>
    <w:uiPriority w:val="0"/>
    <w:pPr>
      <w:ind w:firstLine="830" w:firstLineChars="352"/>
    </w:pPr>
    <w:rPr>
      <w:rFonts w:ascii="仿宋_GB2312" w:eastAsia="仿宋_GB2312"/>
      <w:sz w:val="32"/>
      <w:szCs w:val="20"/>
    </w:rPr>
  </w:style>
  <w:style w:type="paragraph" w:styleId="5">
    <w:name w:val="envelope return"/>
    <w:basedOn w:val="1"/>
    <w:qFormat/>
    <w:uiPriority w:val="0"/>
    <w:rPr>
      <w:rFonts w:ascii="Arial" w:hAnsi="Arial" w:cs="Arial"/>
      <w:kern w:val="1"/>
    </w:rPr>
  </w:style>
  <w:style w:type="paragraph" w:styleId="6">
    <w:name w:val="List 2"/>
    <w:basedOn w:val="1"/>
    <w:qFormat/>
    <w:uiPriority w:val="0"/>
    <w:pPr>
      <w:ind w:left="100" w:leftChars="200" w:hanging="200" w:hangingChars="200"/>
    </w:pPr>
    <w:rPr>
      <w:sz w:val="28"/>
    </w:rPr>
  </w:style>
  <w:style w:type="paragraph" w:styleId="7">
    <w:name w:val="Plain Text"/>
    <w:basedOn w:val="1"/>
    <w:next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style>
  <w:style w:type="paragraph" w:styleId="1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Title"/>
    <w:basedOn w:val="1"/>
    <w:next w:val="4"/>
    <w:qFormat/>
    <w:uiPriority w:val="0"/>
    <w:pPr>
      <w:spacing w:before="240" w:beforeLines="0" w:after="60" w:afterLines="0"/>
      <w:jc w:val="center"/>
      <w:outlineLvl w:val="0"/>
    </w:pPr>
    <w:rPr>
      <w:rFonts w:ascii="Cambria" w:hAnsi="Cambria"/>
      <w:b/>
      <w:bCs/>
      <w:sz w:val="32"/>
      <w:szCs w:val="32"/>
    </w:rPr>
  </w:style>
  <w:style w:type="character" w:styleId="15">
    <w:name w:val="page number"/>
    <w:qFormat/>
    <w:uiPriority w:val="0"/>
    <w:rPr>
      <w:rFonts w:ascii="Times New Roman" w:hAnsi="Times New Roman" w:eastAsia="宋体" w:cs="Times New Roman"/>
    </w:rPr>
  </w:style>
  <w:style w:type="character" w:styleId="16">
    <w:name w:val="annotation reference"/>
    <w:qFormat/>
    <w:uiPriority w:val="0"/>
    <w:rPr>
      <w:sz w:val="21"/>
      <w:szCs w:val="21"/>
    </w:rPr>
  </w:style>
  <w:style w:type="paragraph" w:customStyle="1" w:styleId="17">
    <w:name w:val="1"/>
    <w:basedOn w:val="1"/>
    <w:next w:val="7"/>
    <w:qFormat/>
    <w:uiPriority w:val="0"/>
    <w:rPr>
      <w:rFonts w:ascii="宋体" w:hAnsi="Courier New"/>
      <w:szCs w:val="20"/>
    </w:rPr>
  </w:style>
  <w:style w:type="paragraph" w:customStyle="1" w:styleId="18">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80</Words>
  <Characters>99</Characters>
  <Lines>0</Lines>
  <Paragraphs>0</Paragraphs>
  <TotalTime>0</TotalTime>
  <ScaleCrop>false</ScaleCrop>
  <LinksUpToDate>false</LinksUpToDate>
  <CharactersWithSpaces>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2025-11-25T01:20:00Z</dcterms:created>
  <dc:creator>Administrator</dc:creator>
  <cp:lastModifiedBy>T-etc</cp:lastModifiedBy>
  <dcterms:modified xsi:type="dcterms:W3CDTF">2025-11-26T00:45:57Z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C55FF660046C46E591B14D2B27918CD9_12</vt:lpwstr>
  </property>
</Properties>
</file>