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1655"/>
        <w:gridCol w:w="708"/>
        <w:gridCol w:w="709"/>
        <w:gridCol w:w="6206"/>
      </w:tblGrid>
      <w:tr w:rsidR="00D31738" w14:paraId="50E56BBA" w14:textId="77777777" w:rsidTr="00473943">
        <w:trPr>
          <w:trHeight w:val="680"/>
          <w:jc w:val="center"/>
        </w:trPr>
        <w:tc>
          <w:tcPr>
            <w:tcW w:w="584" w:type="dxa"/>
            <w:tcBorders>
              <w:top w:val="single" w:sz="4" w:space="0" w:color="auto"/>
              <w:left w:val="single" w:sz="4" w:space="0" w:color="auto"/>
              <w:bottom w:val="single" w:sz="4" w:space="0" w:color="auto"/>
              <w:right w:val="single" w:sz="4" w:space="0" w:color="auto"/>
            </w:tcBorders>
            <w:vAlign w:val="center"/>
          </w:tcPr>
          <w:p w14:paraId="6829777E" w14:textId="77777777" w:rsidR="00D31738" w:rsidRDefault="00D31738" w:rsidP="00473943">
            <w:pPr>
              <w:jc w:val="center"/>
              <w:rPr>
                <w:rFonts w:ascii="宋体" w:hAnsi="宋体" w:cs="宋体" w:hint="eastAsia"/>
                <w:b/>
                <w:szCs w:val="21"/>
              </w:rPr>
            </w:pPr>
            <w:r>
              <w:rPr>
                <w:rFonts w:ascii="宋体" w:hAnsi="宋体" w:cs="宋体" w:hint="eastAsia"/>
                <w:b/>
                <w:szCs w:val="21"/>
              </w:rPr>
              <w:t>项号</w:t>
            </w:r>
          </w:p>
        </w:tc>
        <w:tc>
          <w:tcPr>
            <w:tcW w:w="1655" w:type="dxa"/>
            <w:tcBorders>
              <w:top w:val="single" w:sz="4" w:space="0" w:color="auto"/>
              <w:left w:val="single" w:sz="4" w:space="0" w:color="auto"/>
              <w:bottom w:val="single" w:sz="4" w:space="0" w:color="auto"/>
              <w:right w:val="single" w:sz="4" w:space="0" w:color="auto"/>
            </w:tcBorders>
            <w:vAlign w:val="center"/>
          </w:tcPr>
          <w:p w14:paraId="19DA10C4" w14:textId="77777777" w:rsidR="00D31738" w:rsidRDefault="00D31738" w:rsidP="00473943">
            <w:pPr>
              <w:jc w:val="center"/>
              <w:rPr>
                <w:rFonts w:ascii="宋体" w:hAnsi="宋体" w:cs="宋体" w:hint="eastAsia"/>
                <w:b/>
                <w:szCs w:val="21"/>
              </w:rPr>
            </w:pPr>
            <w:r>
              <w:rPr>
                <w:rFonts w:ascii="宋体" w:hAnsi="宋体" w:cs="宋体" w:hint="eastAsia"/>
                <w:b/>
                <w:szCs w:val="21"/>
              </w:rPr>
              <w:t>标的名称</w:t>
            </w:r>
          </w:p>
        </w:tc>
        <w:tc>
          <w:tcPr>
            <w:tcW w:w="708" w:type="dxa"/>
            <w:tcBorders>
              <w:top w:val="single" w:sz="4" w:space="0" w:color="auto"/>
              <w:left w:val="single" w:sz="4" w:space="0" w:color="auto"/>
              <w:bottom w:val="single" w:sz="4" w:space="0" w:color="auto"/>
              <w:right w:val="single" w:sz="4" w:space="0" w:color="auto"/>
            </w:tcBorders>
            <w:vAlign w:val="center"/>
          </w:tcPr>
          <w:p w14:paraId="5DC1E992" w14:textId="77777777" w:rsidR="00D31738" w:rsidRDefault="00D31738" w:rsidP="00473943">
            <w:pPr>
              <w:jc w:val="center"/>
              <w:rPr>
                <w:rFonts w:ascii="宋体" w:hAnsi="宋体" w:cs="宋体" w:hint="eastAsia"/>
                <w:b/>
                <w:szCs w:val="21"/>
              </w:rPr>
            </w:pPr>
            <w:r>
              <w:rPr>
                <w:rFonts w:ascii="宋体" w:hAnsi="宋体" w:cs="宋体" w:hint="eastAsia"/>
                <w:b/>
                <w:szCs w:val="21"/>
              </w:rPr>
              <w:t>数量</w:t>
            </w:r>
          </w:p>
        </w:tc>
        <w:tc>
          <w:tcPr>
            <w:tcW w:w="709" w:type="dxa"/>
            <w:tcBorders>
              <w:top w:val="single" w:sz="4" w:space="0" w:color="auto"/>
              <w:left w:val="single" w:sz="4" w:space="0" w:color="auto"/>
              <w:bottom w:val="single" w:sz="4" w:space="0" w:color="auto"/>
              <w:right w:val="single" w:sz="4" w:space="0" w:color="auto"/>
            </w:tcBorders>
            <w:vAlign w:val="center"/>
          </w:tcPr>
          <w:p w14:paraId="732A72FB" w14:textId="77777777" w:rsidR="00D31738" w:rsidRDefault="00D31738" w:rsidP="00473943">
            <w:pPr>
              <w:jc w:val="center"/>
              <w:rPr>
                <w:rFonts w:ascii="宋体" w:hAnsi="宋体" w:cs="宋体" w:hint="eastAsia"/>
                <w:b/>
                <w:szCs w:val="21"/>
              </w:rPr>
            </w:pPr>
            <w:r>
              <w:rPr>
                <w:rFonts w:ascii="宋体" w:hAnsi="宋体" w:cs="宋体" w:hint="eastAsia"/>
                <w:b/>
                <w:szCs w:val="21"/>
              </w:rPr>
              <w:t>单位</w:t>
            </w:r>
          </w:p>
        </w:tc>
        <w:tc>
          <w:tcPr>
            <w:tcW w:w="6206" w:type="dxa"/>
            <w:tcBorders>
              <w:top w:val="single" w:sz="4" w:space="0" w:color="auto"/>
              <w:left w:val="single" w:sz="4" w:space="0" w:color="auto"/>
              <w:bottom w:val="single" w:sz="4" w:space="0" w:color="auto"/>
              <w:right w:val="single" w:sz="4" w:space="0" w:color="auto"/>
            </w:tcBorders>
            <w:vAlign w:val="center"/>
          </w:tcPr>
          <w:p w14:paraId="3E8A0B6F" w14:textId="77777777" w:rsidR="00D31738" w:rsidRDefault="00D31738" w:rsidP="00473943">
            <w:pPr>
              <w:jc w:val="center"/>
              <w:rPr>
                <w:rFonts w:ascii="宋体" w:hAnsi="宋体" w:cs="宋体" w:hint="eastAsia"/>
                <w:b/>
                <w:szCs w:val="21"/>
              </w:rPr>
            </w:pPr>
            <w:r>
              <w:rPr>
                <w:rFonts w:ascii="宋体" w:hAnsi="宋体" w:cs="宋体" w:hint="eastAsia"/>
                <w:b/>
                <w:szCs w:val="21"/>
              </w:rPr>
              <w:t>内容和要求</w:t>
            </w:r>
          </w:p>
        </w:tc>
      </w:tr>
      <w:tr w:rsidR="00D31738" w14:paraId="706D8F87" w14:textId="77777777" w:rsidTr="00473943">
        <w:trPr>
          <w:trHeight w:val="680"/>
          <w:jc w:val="center"/>
        </w:trPr>
        <w:tc>
          <w:tcPr>
            <w:tcW w:w="584" w:type="dxa"/>
            <w:tcBorders>
              <w:top w:val="single" w:sz="4" w:space="0" w:color="auto"/>
              <w:left w:val="single" w:sz="4" w:space="0" w:color="auto"/>
              <w:bottom w:val="single" w:sz="4" w:space="0" w:color="auto"/>
              <w:right w:val="single" w:sz="4" w:space="0" w:color="auto"/>
            </w:tcBorders>
            <w:vAlign w:val="center"/>
          </w:tcPr>
          <w:p w14:paraId="0C62A693" w14:textId="77777777" w:rsidR="00D31738" w:rsidRDefault="00D31738" w:rsidP="00D31738">
            <w:pPr>
              <w:numPr>
                <w:ilvl w:val="0"/>
                <w:numId w:val="1"/>
              </w:numPr>
              <w:jc w:val="center"/>
              <w:rPr>
                <w:rFonts w:ascii="宋体" w:hAnsi="宋体" w:cs="宋体" w:hint="eastAsia"/>
                <w:b/>
                <w:szCs w:val="21"/>
              </w:rPr>
            </w:pPr>
          </w:p>
        </w:tc>
        <w:tc>
          <w:tcPr>
            <w:tcW w:w="1655" w:type="dxa"/>
            <w:tcBorders>
              <w:top w:val="single" w:sz="4" w:space="0" w:color="auto"/>
              <w:left w:val="single" w:sz="4" w:space="0" w:color="auto"/>
              <w:bottom w:val="single" w:sz="4" w:space="0" w:color="auto"/>
              <w:right w:val="single" w:sz="4" w:space="0" w:color="auto"/>
            </w:tcBorders>
            <w:vAlign w:val="center"/>
          </w:tcPr>
          <w:p w14:paraId="3F9D0D60" w14:textId="43B1F900" w:rsidR="00D31738" w:rsidRDefault="00D31738" w:rsidP="00473943">
            <w:pPr>
              <w:jc w:val="center"/>
              <w:rPr>
                <w:rFonts w:ascii="宋体" w:hAnsi="宋体" w:cs="宋体" w:hint="eastAsia"/>
                <w:szCs w:val="21"/>
              </w:rPr>
            </w:pPr>
            <w:r w:rsidRPr="00D31738">
              <w:rPr>
                <w:rFonts w:ascii="宋体" w:hAnsi="宋体" w:cs="宋体"/>
                <w:szCs w:val="21"/>
                <w:lang w:bidi="ar"/>
              </w:rPr>
              <w:t>医科达Synergy直线加速器升级服务</w:t>
            </w:r>
          </w:p>
        </w:tc>
        <w:tc>
          <w:tcPr>
            <w:tcW w:w="708" w:type="dxa"/>
            <w:tcBorders>
              <w:top w:val="single" w:sz="4" w:space="0" w:color="auto"/>
              <w:left w:val="single" w:sz="4" w:space="0" w:color="auto"/>
              <w:bottom w:val="single" w:sz="4" w:space="0" w:color="auto"/>
              <w:right w:val="single" w:sz="4" w:space="0" w:color="auto"/>
            </w:tcBorders>
            <w:vAlign w:val="center"/>
          </w:tcPr>
          <w:p w14:paraId="0716E9A8" w14:textId="77777777" w:rsidR="00D31738" w:rsidRDefault="00D31738" w:rsidP="00473943">
            <w:pPr>
              <w:jc w:val="center"/>
              <w:rPr>
                <w:rFonts w:ascii="宋体" w:hAnsi="宋体" w:cs="宋体" w:hint="eastAsia"/>
                <w:szCs w:val="21"/>
              </w:rPr>
            </w:pPr>
            <w:r>
              <w:rPr>
                <w:rFonts w:ascii="宋体" w:hAnsi="宋体" w:cs="宋体" w:hint="eastAsia"/>
                <w:szCs w:val="21"/>
              </w:rPr>
              <w:t>1</w:t>
            </w:r>
          </w:p>
        </w:tc>
        <w:tc>
          <w:tcPr>
            <w:tcW w:w="709" w:type="dxa"/>
            <w:tcBorders>
              <w:top w:val="single" w:sz="4" w:space="0" w:color="auto"/>
              <w:left w:val="single" w:sz="4" w:space="0" w:color="auto"/>
              <w:bottom w:val="single" w:sz="4" w:space="0" w:color="auto"/>
              <w:right w:val="single" w:sz="4" w:space="0" w:color="auto"/>
            </w:tcBorders>
            <w:vAlign w:val="center"/>
          </w:tcPr>
          <w:p w14:paraId="150E73FA" w14:textId="77777777" w:rsidR="00D31738" w:rsidRDefault="00D31738" w:rsidP="00473943">
            <w:pPr>
              <w:jc w:val="center"/>
              <w:rPr>
                <w:rFonts w:ascii="宋体" w:hAnsi="宋体" w:cs="宋体" w:hint="eastAsia"/>
                <w:szCs w:val="21"/>
              </w:rPr>
            </w:pPr>
            <w:r>
              <w:rPr>
                <w:rFonts w:ascii="宋体" w:hAnsi="宋体" w:cs="宋体" w:hint="eastAsia"/>
                <w:szCs w:val="21"/>
              </w:rPr>
              <w:t>项</w:t>
            </w:r>
          </w:p>
        </w:tc>
        <w:tc>
          <w:tcPr>
            <w:tcW w:w="6206" w:type="dxa"/>
            <w:tcBorders>
              <w:top w:val="single" w:sz="4" w:space="0" w:color="auto"/>
              <w:left w:val="single" w:sz="4" w:space="0" w:color="auto"/>
              <w:right w:val="single" w:sz="4" w:space="0" w:color="auto"/>
            </w:tcBorders>
            <w:vAlign w:val="center"/>
          </w:tcPr>
          <w:p w14:paraId="38D57FCD"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1.仪器功能要求：</w:t>
            </w:r>
          </w:p>
          <w:p w14:paraId="71949F35"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1.1  升级医院现有医用直线加速器的控制系统到最新版本；</w:t>
            </w:r>
          </w:p>
          <w:p w14:paraId="6DAC95E2"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1.2  升级医院加速器光栅到最新160叶高速高精度光栅；</w:t>
            </w:r>
          </w:p>
          <w:p w14:paraId="10FEF305"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1.3  升级后的控制系统配备VMAT容积旋转调强治疗模式；</w:t>
            </w:r>
          </w:p>
          <w:p w14:paraId="1FBDBA4B"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1.4  新增2套适配旋转调强放疗计划设计的计划系统</w:t>
            </w:r>
          </w:p>
          <w:p w14:paraId="4CA0A0EB"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1.5  升级后Synergy加速器与Versa HD加速器进行能量匹配设定</w:t>
            </w:r>
          </w:p>
          <w:p w14:paraId="494A30C3"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 xml:space="preserve">2.主要技术指标                                                                    </w:t>
            </w:r>
          </w:p>
          <w:p w14:paraId="3E3D7711"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 控制柜系统的软、硬件升级。需满足加速器主机的正常稳定控制以及</w:t>
            </w:r>
            <w:proofErr w:type="spellStart"/>
            <w:r w:rsidRPr="00D31738">
              <w:rPr>
                <w:rFonts w:ascii="宋体" w:hAnsi="宋体" w:cs="宋体" w:hint="eastAsia"/>
                <w:szCs w:val="21"/>
              </w:rPr>
              <w:t>mosaiq</w:t>
            </w:r>
            <w:proofErr w:type="spellEnd"/>
            <w:r w:rsidRPr="00D31738">
              <w:rPr>
                <w:rFonts w:ascii="宋体" w:hAnsi="宋体" w:cs="宋体" w:hint="eastAsia"/>
                <w:szCs w:val="21"/>
              </w:rPr>
              <w:t>等放疗系统衔接，控制系统全数字化，临床模式支持自动摆位数据载入及超容差限制治疗功能，工业级网络和安全管理，支持IMRT、DMLC、VMAT、SBRT治疗。此外，维修模式下的DICOM RT接口，可连接第三方设备；</w:t>
            </w:r>
          </w:p>
          <w:p w14:paraId="570D92ED"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▲2.2.多叶光栅升级。所有叶片在等中心处的投影宽度应≤0.5cm ，叶片数量≥80对（160叶），叶片运动速度：≥6.5cm/s，叶片移动精度应≤1mm，最大照射野为40×40cm，叶片可做插指运动，漏射率应≤ 0.5%，能实现超过20cm大野调强功能而不需要分割射野；</w:t>
            </w:r>
          </w:p>
          <w:p w14:paraId="3ECA8070"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▲2.3.容积调强控制。可实现对机架旋转运动、MLC叶片移动、机头旋转运动、剂量率变化、准直器移动等进行同步控制；</w:t>
            </w:r>
          </w:p>
          <w:p w14:paraId="79AE2991"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2.4 容积调强治疗模式。支持子野子弧总数（最大优化可控点数量）≥1000 、X线的最大剂量率≥600MU/min、最大可设计照射野≥40cm直径x40cm长，可执行单个弧度、单轴多弧度、非共平面等治疗方式；</w:t>
            </w:r>
          </w:p>
          <w:p w14:paraId="297D9A8F"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2.5 升级时更换必要的可适配新控制柜系统的加速器其他配件，包括但不限于电路板、线缆等等；</w:t>
            </w:r>
          </w:p>
          <w:p w14:paraId="529F3597"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2.6 配备2套Monaco计划系统。每一套计划系统应具备独立算力，主机的CPU主频 ≥ 2.6 GHz Xeon 18-Core 双路CPU或同等性能；</w:t>
            </w:r>
          </w:p>
          <w:p w14:paraId="40D7D34C"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2.7 对本次直线加速器升级后进行数据采集、拟合处理及与Versa HD加速器实现能量匹配，并配合完成科室各类计划系统对该设备数据模型的应用与修正；</w:t>
            </w:r>
          </w:p>
          <w:p w14:paraId="32D1E499"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2.8 2套计划系统要求：要求具备CT模拟功能，能融合多种影像以准确确定靶区及其它组织；计算模型要求为基于业界金标准的蒙特卡罗算法；并具有基于放射生物原理的计划优化的功能，包含2套物理师工作站，包含全部的计算机硬件，操作系统，应用软件。</w:t>
            </w:r>
          </w:p>
          <w:p w14:paraId="393BA131"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2.9 计划系统的轮廓勾画功能包括：具备边缘自动探测和重要器官自动规避的功能；具备三维智能勾画软件功能；逐层上、下复制和内插功能；快速创建和外放结构，多结构相加或相减；支持基于PET SUV值的轮廓自动勾画；提供四维勾画功能；可将4D图像序列合并生成特殊影像（最大密度投影MIP， 最小密度投影</w:t>
            </w:r>
            <w:proofErr w:type="spellStart"/>
            <w:r w:rsidRPr="00D31738">
              <w:rPr>
                <w:rFonts w:ascii="宋体" w:hAnsi="宋体" w:cs="宋体" w:hint="eastAsia"/>
                <w:szCs w:val="21"/>
              </w:rPr>
              <w:t>MinIP</w:t>
            </w:r>
            <w:proofErr w:type="spellEnd"/>
            <w:r w:rsidRPr="00D31738">
              <w:rPr>
                <w:rFonts w:ascii="宋体" w:hAnsi="宋体" w:cs="宋体" w:hint="eastAsia"/>
                <w:szCs w:val="21"/>
              </w:rPr>
              <w:t>， 平均密度投影 Average），可快速定义受呼吸运动影响的靶区体积；</w:t>
            </w:r>
            <w:r w:rsidRPr="00D31738">
              <w:rPr>
                <w:rFonts w:ascii="宋体" w:hAnsi="宋体" w:cs="宋体" w:hint="eastAsia"/>
                <w:szCs w:val="21"/>
              </w:rPr>
              <w:lastRenderedPageBreak/>
              <w:t>要求计划系统以及放疗医生工作站均可进行4D勾画；支持锁定/解锁勾画好的轮廓。</w:t>
            </w:r>
          </w:p>
          <w:p w14:paraId="3FA3A5F3"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2.10 计划系统适形计划要求：可以在BEV图像上，对MLC的位置或挡铅形状、大小进行编辑；支持正向调强计划。</w:t>
            </w:r>
          </w:p>
          <w:p w14:paraId="04222A41"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2.11 计划系统IMRT功能要求：具备多种函数模式；计划系统应具有生物优化功能，对于危及器官的优化函数，可以通过估计的正常组织并发症概率(NTCP)模型来构建；生物函数可用于肿瘤和串行以及并行危机器官；物理剂量函数模式；高/低剂量的百分体积约束；基于剂量体积的约束，可用于肿瘤和正常组织优化。可自动定义剂量过渡区，无需勾画辅助器官；可定义优化函数作用的区域，并将优化函数作用区域用图形显示出来；当优化靶区时，用约束性优化工具来保证所有危机器官达到目标；多标准优化：在优化过程中通过严格遵守优化的约束条件来，当满足第一目标后自动寻找下一个更严格的目标，以更好地满足正常器官；剂量分析和预测工具：具有多种分析工具分析出各个器官之间的剂量影响关系，在快速通量运算完成后，预测最终剂量分布，从而帮助计划者快速地完成计划制作；具有子野形状优化（SSO）功能，使直线加速器的MLC呈连贯的单方向运动分布，以缩短光栅的运动距离，减少折返运动对MLC的消耗；支持自由控制计划目标优化次数，利用平衡条调节优化速度与计划质量之间的关系；具有</w:t>
            </w:r>
            <w:proofErr w:type="spellStart"/>
            <w:r w:rsidRPr="00D31738">
              <w:rPr>
                <w:rFonts w:ascii="宋体" w:hAnsi="宋体" w:cs="宋体" w:hint="eastAsia"/>
                <w:szCs w:val="21"/>
              </w:rPr>
              <w:t>Autoflash</w:t>
            </w:r>
            <w:proofErr w:type="spellEnd"/>
            <w:r w:rsidRPr="00D31738">
              <w:rPr>
                <w:rFonts w:ascii="宋体" w:hAnsi="宋体" w:cs="宋体" w:hint="eastAsia"/>
                <w:szCs w:val="21"/>
              </w:rPr>
              <w:t xml:space="preserve"> Margin功能，能够智能考虑表浅移动靶区的剂量分布；支持高精动态调强技术，将钨门与MLC协同优化，以在等中心平面处，形成最小分辨率达1mm x 1mm的调制范围。调强治疗方式支持固定野静态调强技术和固定野动态调强技术。</w:t>
            </w:r>
          </w:p>
          <w:p w14:paraId="2DBBC453"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2.12 计划系统的计算方式：能提供三种不同的光子线剂量算法；提供光子线Monte-Carlo模拟算法；提供光子线Collapsed Cone算法；电子线采用Monte-Carlo模拟算法；支持</w:t>
            </w:r>
            <w:proofErr w:type="spellStart"/>
            <w:r w:rsidRPr="00D31738">
              <w:rPr>
                <w:rFonts w:ascii="宋体" w:hAnsi="宋体" w:cs="宋体" w:hint="eastAsia"/>
                <w:szCs w:val="21"/>
              </w:rPr>
              <w:t>Dicom</w:t>
            </w:r>
            <w:proofErr w:type="spellEnd"/>
            <w:r w:rsidRPr="00D31738">
              <w:rPr>
                <w:rFonts w:ascii="宋体" w:hAnsi="宋体" w:cs="宋体" w:hint="eastAsia"/>
                <w:szCs w:val="21"/>
              </w:rPr>
              <w:t xml:space="preserve"> plan 再计算功能，可将其他算法的计划导入到新计划系统中，采用蒙特卡洛算法重新进行精确计算。</w:t>
            </w:r>
          </w:p>
          <w:p w14:paraId="17676D49"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2.13 计划系统的CT模拟与图像配准：支持CT、MRI以及PET图像配准；支持点配准、手动配准以及自动配准；支持在次图像上勾画，自动同步映射至主图像，并且可以在多套图像同时显示，以提高勾画效率；能在融合配准后的影像上显示剂量分布；支持多模态图像配准矩阵的导入和导出。</w:t>
            </w:r>
          </w:p>
          <w:p w14:paraId="75D847C8"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▲2.14 计划系统VMAT计划功能要求：支持容积旋转调强技术，自动优化的参数至少包括机架旋转速度，剂量率和MLC叶片位置；单个计划设置当中，能实现多弧设计，而并不是通过多个单弧计划合成出来的设计；可进行单弧、多弧特别是非共面多弧的计划设计和自动优化；支持高调制度容积调强技术，计划控制点支持以非等分角度的形式，智能分布在弧形射野的任意区域，以有效提高输出计划的调制度。每个全弧可分布1024个控制点，以增加计划调制度。</w:t>
            </w:r>
          </w:p>
          <w:p w14:paraId="0546C1B1"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▲2.15 要求Synergy升级后的6MV/10MV光子线PDD（百分深度剂量）及Profile（离轴比）曲线，与院内现有Versa HD设备的测量数据吻合度 99%</w:t>
            </w:r>
          </w:p>
          <w:p w14:paraId="0681447F"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lastRenderedPageBreak/>
              <w:t>2.16 MOSAIQ系统提供支持上述功能升级的接口，1套</w:t>
            </w:r>
          </w:p>
          <w:p w14:paraId="282D8186"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2.17 提供计划系统专用数据存储服务器</w:t>
            </w:r>
          </w:p>
          <w:p w14:paraId="74CEACCC"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▲3.配置需求</w:t>
            </w:r>
          </w:p>
          <w:p w14:paraId="37C7F403"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1.Agility多叶光栅（叶片宽度≤5mm）   1套</w:t>
            </w:r>
          </w:p>
          <w:p w14:paraId="0CE8F222"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2.VMAT容积旋转调强功能（包含所有必须的软硬件系统）  1套</w:t>
            </w:r>
          </w:p>
          <w:p w14:paraId="5F9DAA10"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3.计划系统   2套</w:t>
            </w:r>
          </w:p>
          <w:p w14:paraId="3E920BFE"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4.设备能量匹配  1项</w:t>
            </w:r>
          </w:p>
          <w:p w14:paraId="03E2E37F" w14:textId="77777777" w:rsidR="00D31738" w:rsidRPr="00D31738" w:rsidRDefault="00D31738" w:rsidP="00D31738">
            <w:pPr>
              <w:rPr>
                <w:rFonts w:ascii="宋体" w:hAnsi="宋体" w:cs="宋体" w:hint="eastAsia"/>
                <w:szCs w:val="21"/>
              </w:rPr>
            </w:pPr>
            <w:r w:rsidRPr="00D31738">
              <w:rPr>
                <w:rFonts w:ascii="宋体" w:hAnsi="宋体" w:cs="宋体" w:hint="eastAsia"/>
                <w:szCs w:val="21"/>
              </w:rPr>
              <w:t>5.控制柜   1套</w:t>
            </w:r>
          </w:p>
          <w:p w14:paraId="6683FC29" w14:textId="323E38E8" w:rsidR="00D31738" w:rsidRDefault="00D31738" w:rsidP="00D31738">
            <w:pPr>
              <w:rPr>
                <w:rFonts w:ascii="宋体" w:hAnsi="宋体" w:cs="宋体" w:hint="eastAsia"/>
                <w:szCs w:val="21"/>
              </w:rPr>
            </w:pPr>
            <w:r w:rsidRPr="00D31738">
              <w:rPr>
                <w:rFonts w:ascii="宋体" w:hAnsi="宋体" w:cs="宋体" w:hint="eastAsia"/>
                <w:szCs w:val="21"/>
              </w:rPr>
              <w:t>6.计划系统专用数据存储服务器 1套</w:t>
            </w:r>
          </w:p>
        </w:tc>
      </w:tr>
      <w:tr w:rsidR="00D31738" w14:paraId="3B21BFA3" w14:textId="77777777" w:rsidTr="00473943">
        <w:trPr>
          <w:trHeight w:val="547"/>
          <w:jc w:val="center"/>
        </w:trPr>
        <w:tc>
          <w:tcPr>
            <w:tcW w:w="9862" w:type="dxa"/>
            <w:gridSpan w:val="5"/>
            <w:tcBorders>
              <w:top w:val="single" w:sz="4" w:space="0" w:color="auto"/>
              <w:left w:val="single" w:sz="4" w:space="0" w:color="auto"/>
              <w:bottom w:val="single" w:sz="4" w:space="0" w:color="auto"/>
              <w:right w:val="single" w:sz="4" w:space="0" w:color="auto"/>
            </w:tcBorders>
            <w:vAlign w:val="center"/>
          </w:tcPr>
          <w:p w14:paraId="362817B1" w14:textId="77777777" w:rsidR="00D31738" w:rsidRDefault="00D31738" w:rsidP="00473943">
            <w:pPr>
              <w:rPr>
                <w:rFonts w:ascii="宋体" w:hAnsi="宋体" w:cs="宋体" w:hint="eastAsia"/>
                <w:szCs w:val="21"/>
              </w:rPr>
            </w:pPr>
            <w:r>
              <w:rPr>
                <w:rFonts w:ascii="宋体" w:hAnsi="宋体" w:cs="宋体" w:hint="eastAsia"/>
                <w:b/>
                <w:szCs w:val="21"/>
              </w:rPr>
              <w:lastRenderedPageBreak/>
              <w:t>商务要求表</w:t>
            </w:r>
          </w:p>
        </w:tc>
      </w:tr>
      <w:tr w:rsidR="00D31738" w14:paraId="2F7453B8" w14:textId="77777777" w:rsidTr="00FB5CB8">
        <w:trPr>
          <w:trHeight w:val="680"/>
          <w:jc w:val="center"/>
        </w:trPr>
        <w:tc>
          <w:tcPr>
            <w:tcW w:w="9862" w:type="dxa"/>
            <w:gridSpan w:val="5"/>
            <w:tcBorders>
              <w:top w:val="single" w:sz="4" w:space="0" w:color="auto"/>
              <w:left w:val="single" w:sz="4" w:space="0" w:color="auto"/>
              <w:bottom w:val="single" w:sz="4" w:space="0" w:color="auto"/>
              <w:right w:val="single" w:sz="4" w:space="0" w:color="auto"/>
            </w:tcBorders>
            <w:vAlign w:val="center"/>
          </w:tcPr>
          <w:p w14:paraId="33BF4FB8"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一、报价要求：本次报价须为人民币报价，包含产品、服务、备品备件、运输费（含装卸费）、保险费、安装调试费、税费、培训费、产品检测费、产品质保期内维护费、软件升级、系统接口等费用。对于本文件中明确列明必须报价的货物或服务，供应商应分别报价。对于本文件中未列明，而供应商认为必需的费用也需列入总报价。在合同实施时，采购人将不予支付供应商没有列入的项目费用，并认为此项目的费用已包括在响应总报价中。</w:t>
            </w:r>
          </w:p>
          <w:p w14:paraId="4D621DF5"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二、服务期限：自签订合同之日起一年。</w:t>
            </w:r>
          </w:p>
          <w:p w14:paraId="48243138"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三、验收标准、规范：</w:t>
            </w:r>
          </w:p>
          <w:p w14:paraId="2F811CCB"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采购人对成交人提交的货物依据采购文件上的技术规格要求和国家有关质量标准进行现场签收，外观、说明书符合采购文件技术要求的，给予签收，不合格的不予签收。该签收仅指外观、说明书符合采购文件技术要求而非认可货物验收合格。</w:t>
            </w:r>
          </w:p>
          <w:p w14:paraId="073A5D5C"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2、成交人交货前应对产品作出全面检查和对验收文件进行整理，并列出清单，作为采购人收货验收和使用的技术条件依据，检验的结果应随货物交采购人。成交人不能完整交付货物及本款规定的单证和工具的，必须负责补齐，否则视为未按合同约定交货。</w:t>
            </w:r>
          </w:p>
          <w:p w14:paraId="651C3C14"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3、成交人需负责安装、调试，并培训采购人的使用操作人员，直到设备运行符合技术要求，并提交《货物安装调试完成确认书》，采购人方可验收。</w:t>
            </w:r>
          </w:p>
          <w:p w14:paraId="0739CB2C"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4、采购人组织验收，成交人必须到场配合，验收合格后双方签署验收合格凭证。</w:t>
            </w:r>
          </w:p>
          <w:p w14:paraId="4F340CC8"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5、其他未尽事宜应严格按照《关于印发广西壮族自治区政府采购项目履约验收管理办法的通知》【桂财采〔2015〕22号】以及《财政部关于进一步加强政府采购需求和履约验收管理的指导意见》【财库〔2016〕205号】规定执行。</w:t>
            </w:r>
          </w:p>
          <w:p w14:paraId="1ADB3E88"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四、质量保修期：质量保修期自项目验收合格并交付正常使用之日算起。整机质量保修期≥1年，整机质量保修涵盖的内容与已签定的保修合同一致，原保修合同顺延。</w:t>
            </w:r>
          </w:p>
          <w:p w14:paraId="67FAB421"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五、配套耗材：涉及有带耗材或试剂的，列明设备名称所配套试剂/耗材名称规格及型号价格，并标注是否开放。</w:t>
            </w:r>
          </w:p>
          <w:p w14:paraId="17DD5632"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六、售后服务要求：</w:t>
            </w:r>
          </w:p>
          <w:p w14:paraId="2140677A"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1、负责免费送货上门，提供的产品必须是全新未使用过的合格原装产品。</w:t>
            </w:r>
          </w:p>
          <w:p w14:paraId="3ECE6659"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2、质量保证期内免费上门维修、免费更换配件。</w:t>
            </w:r>
          </w:p>
          <w:p w14:paraId="0F39328F"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3、质量保证期内，中标供应商负责处理解决货物出现的质量及安全问题并承担一切费用，所有非故意性</w:t>
            </w:r>
            <w:r w:rsidRPr="00D31738">
              <w:rPr>
                <w:rFonts w:ascii="宋体" w:hAnsi="宋体" w:cs="宋体" w:hint="eastAsia"/>
                <w:szCs w:val="21"/>
              </w:rPr>
              <w:lastRenderedPageBreak/>
              <w:t>损坏以及正常使用范围内造成的损坏均要免费维修，因人为因素出现的故障不在免费保修范围内，但中标供应商也要积极帮助采购人修理，并提供优惠价格的配件和服务。</w:t>
            </w:r>
          </w:p>
          <w:p w14:paraId="205563B4"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4、安装工程师对本招标文件中提出的性能指标须逐项演示给用户，所有验收指标要求一次完成。</w:t>
            </w:r>
          </w:p>
          <w:p w14:paraId="06DEBC5F"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5、安装、调试过程中，安装工程师有义务对用户讲解仪器的操作及注意事项，对用户提出的问题安装工程师须认真给予正确、完整的回答。</w:t>
            </w:r>
          </w:p>
          <w:p w14:paraId="29ED4308"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6、免费提供仪器操作及维护培训，培训课程有基础理论、使用操作、日常维护、应用方法等内容。</w:t>
            </w:r>
          </w:p>
          <w:p w14:paraId="0E315E6E"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7、维修过程中所需零配件中标人在接到通知后最长不超过 2 天必须送达采购单位。</w:t>
            </w:r>
          </w:p>
          <w:p w14:paraId="1700513E"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8、投标货物的售后服务必须由中标人直接负责，售后工作由中标人和设备原生产商直接协调。有常驻维修工程师，保证长期、优惠、及时提供零备件和优质、优惠的维修服务。</w:t>
            </w:r>
          </w:p>
          <w:p w14:paraId="0239829B"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9、免费开放与医院相关系统对接的接口，须与我院现有信息系统（包括但不限于HIS、HRP、PACS、全生命周期系统、OA、人事系统、集成平台、物流系统、院内电子签名系统、内镜系统、放疗信息系统、移动办公软件等）实现免费对接，采购人不再支付系统接口相关对接费用。</w:t>
            </w:r>
          </w:p>
          <w:p w14:paraId="735427EE"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10.提供软件终生免费升级服务。</w:t>
            </w:r>
          </w:p>
          <w:p w14:paraId="7E8CDB6E"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11、保修期内维修响应及故障解决时间：质保期内，在使用过程中发生质量问题或故障时，维修服务响应≤0.5小时，≤2小时内给出初步解决方案，≤8小时到场，保证能够迅速解决突发性问题。按国家及行业标准对故障进行及时处理，一般故障处理时限不超过12小时修复，如果故障在检修24小时后故障仍无法排除，中标供应商应在48小时内提供不低于故障设备规格型号档次的备用设备供采购人使用，直至故障设备修复。设备维修或更换后其保修期相应顺延。</w:t>
            </w:r>
          </w:p>
          <w:p w14:paraId="7CCB198C"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12、质保期内，每季度至少进行一次定期回访以及对设备维护保养，解决使用中出现的问题。质保期过后，不定期回访使用科室及对设备使用运行情况提供咨询服务。</w:t>
            </w:r>
          </w:p>
          <w:p w14:paraId="16A0032D"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13、备用配件要求：备用配件及易损件应为原厂全新未经使用的原装合格产品，未经采购人同意不得使用非原厂配件。</w:t>
            </w:r>
          </w:p>
          <w:p w14:paraId="13A69DCE"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14、成交供应商在提供服务过程中（包括但不限于安装、维保过程等），因操作过失、产品质量等问题造成采购人设备损坏的、人身（包括但不限于第三方人员）、场所或财产损害的，由成交供应商承担，并赔偿采购人因此产生的相关损失及承担全部经济责任及法律责任。</w:t>
            </w:r>
          </w:p>
          <w:p w14:paraId="7A00B41C"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七、付款方式：</w:t>
            </w:r>
          </w:p>
          <w:p w14:paraId="080A92EE"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分期付款，分两期支付。</w:t>
            </w:r>
          </w:p>
          <w:p w14:paraId="18B37893"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第一期：签订合同后，供应商将货物按照采购人要求送到指定地点，并经采购人签收后，供应商凭请款函（包括合同复印件、双方签署的医用设备签收单）， 采购人以转账方式支付总合同金额的30%。【如成交供应商为中小企业，凭请款函（包括合同复印件、双方签署的医用设备签收单），采购人在60日内以转账方式支付总合同金额的30%。】</w:t>
            </w:r>
          </w:p>
          <w:p w14:paraId="38255726"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第二期：供应商按合同约定完成设备安装调试并经双方验收合格，供应商凭请款函（包括合同复印件、货物安装调试完成确认书、双方签署的采购项目验收单）及全额增值税专用发票，采购人以转账方式支付总合同金额的70%。【如成交供应商为中小企业，凭请款函（包括中小企业声明函、合同复印件、货物安装调试完成确认书、双方签署的采购项目验收单）及全额增值税专用发票，采购人在60日内以转账方式支付总合同金额的70%。】</w:t>
            </w:r>
          </w:p>
          <w:p w14:paraId="0B8D2C0B"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lastRenderedPageBreak/>
              <w:t>八、履约保证金：</w:t>
            </w:r>
          </w:p>
          <w:p w14:paraId="41DF504D"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1、本项目签订合同前，中标供应商按中标金额的5%向采购人支付履约保证金。（如中标供应商为中小微企业，提供相关证明材料，按中标金额的2%）</w:t>
            </w:r>
          </w:p>
          <w:p w14:paraId="2F187D8E"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2、履约保证金递交方式：转账或电汇形式或政府采购规定允许的其它方式。</w:t>
            </w:r>
          </w:p>
          <w:p w14:paraId="5995736C"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3、履约保证金退付方式、时间及条件：本项目验收合格，中标供应商向采购人申请办理履约保证金退还手续后，采购人将履约保证金退回到中标供应商账户（不计利息）。</w:t>
            </w:r>
          </w:p>
          <w:p w14:paraId="5579D0F9"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4、采购人收取履约保证金指定账户：</w:t>
            </w:r>
          </w:p>
          <w:p w14:paraId="3D52B906"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开户名称：广西医科大学附属肿瘤医院</w:t>
            </w:r>
          </w:p>
          <w:p w14:paraId="2990E97B" w14:textId="77777777" w:rsidR="00D31738" w:rsidRP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开户行：中国银行南宁市医科大支行</w:t>
            </w:r>
          </w:p>
          <w:p w14:paraId="5D5C0D3A" w14:textId="3759E668" w:rsidR="00D31738" w:rsidRDefault="00D31738" w:rsidP="00D31738">
            <w:pPr>
              <w:tabs>
                <w:tab w:val="left" w:pos="180"/>
                <w:tab w:val="left" w:pos="1620"/>
              </w:tabs>
              <w:spacing w:line="380" w:lineRule="exact"/>
              <w:jc w:val="left"/>
              <w:rPr>
                <w:rFonts w:ascii="宋体" w:hAnsi="宋体" w:cs="宋体" w:hint="eastAsia"/>
                <w:szCs w:val="21"/>
              </w:rPr>
            </w:pPr>
            <w:r w:rsidRPr="00D31738">
              <w:rPr>
                <w:rFonts w:ascii="宋体" w:hAnsi="宋体" w:cs="宋体" w:hint="eastAsia"/>
                <w:szCs w:val="21"/>
              </w:rPr>
              <w:t>账号：619759083458</w:t>
            </w:r>
          </w:p>
        </w:tc>
      </w:tr>
    </w:tbl>
    <w:p w14:paraId="2DB7BC67" w14:textId="77777777" w:rsidR="008D44A0" w:rsidRPr="00D31738" w:rsidRDefault="008D44A0"/>
    <w:sectPr w:rsidR="008D44A0" w:rsidRPr="00D317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9970" w14:textId="77777777" w:rsidR="0015187E" w:rsidRDefault="0015187E" w:rsidP="00D31738">
      <w:pPr>
        <w:rPr>
          <w:rFonts w:hint="eastAsia"/>
        </w:rPr>
      </w:pPr>
      <w:r>
        <w:separator/>
      </w:r>
    </w:p>
  </w:endnote>
  <w:endnote w:type="continuationSeparator" w:id="0">
    <w:p w14:paraId="54169BE4" w14:textId="77777777" w:rsidR="0015187E" w:rsidRDefault="0015187E" w:rsidP="00D317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07D9" w14:textId="77777777" w:rsidR="0015187E" w:rsidRDefault="0015187E" w:rsidP="00D31738">
      <w:pPr>
        <w:rPr>
          <w:rFonts w:hint="eastAsia"/>
        </w:rPr>
      </w:pPr>
      <w:r>
        <w:separator/>
      </w:r>
    </w:p>
  </w:footnote>
  <w:footnote w:type="continuationSeparator" w:id="0">
    <w:p w14:paraId="6C14B345" w14:textId="77777777" w:rsidR="0015187E" w:rsidRDefault="0015187E" w:rsidP="00D3173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C516C3"/>
    <w:multiLevelType w:val="singleLevel"/>
    <w:tmpl w:val="CCC516C3"/>
    <w:lvl w:ilvl="0">
      <w:start w:val="1"/>
      <w:numFmt w:val="decimal"/>
      <w:suff w:val="nothing"/>
      <w:lvlText w:val="（%1）"/>
      <w:lvlJc w:val="left"/>
    </w:lvl>
  </w:abstractNum>
  <w:abstractNum w:abstractNumId="1" w15:restartNumberingAfterBreak="0">
    <w:nsid w:val="4FD31870"/>
    <w:multiLevelType w:val="multilevel"/>
    <w:tmpl w:val="4FD31870"/>
    <w:lvl w:ilvl="0">
      <w:start w:val="1"/>
      <w:numFmt w:val="decimal"/>
      <w:lvlText w:val="%1"/>
      <w:lvlJc w:val="right"/>
      <w:pPr>
        <w:ind w:left="416" w:hanging="132"/>
      </w:pPr>
      <w:rPr>
        <w:rFonts w:ascii="宋体" w:eastAsia="宋体" w:hAnsi="宋体" w:hint="eastAsia"/>
        <w:b w:val="0"/>
        <w:i w:val="0"/>
        <w:sz w:val="21"/>
      </w:rPr>
    </w:lvl>
    <w:lvl w:ilvl="1">
      <w:start w:val="1"/>
      <w:numFmt w:val="lowerLetter"/>
      <w:lvlText w:val="%2)"/>
      <w:lvlJc w:val="left"/>
      <w:pPr>
        <w:ind w:left="836" w:hanging="420"/>
      </w:pPr>
    </w:lvl>
    <w:lvl w:ilvl="2">
      <w:start w:val="1"/>
      <w:numFmt w:val="lowerRoman"/>
      <w:lvlText w:val="%3."/>
      <w:lvlJc w:val="right"/>
      <w:pPr>
        <w:ind w:left="1256" w:hanging="420"/>
      </w:pPr>
    </w:lvl>
    <w:lvl w:ilvl="3">
      <w:start w:val="1"/>
      <w:numFmt w:val="decimal"/>
      <w:lvlText w:val="%4."/>
      <w:lvlJc w:val="left"/>
      <w:pPr>
        <w:ind w:left="1676" w:hanging="420"/>
      </w:pPr>
    </w:lvl>
    <w:lvl w:ilvl="4">
      <w:start w:val="1"/>
      <w:numFmt w:val="lowerLetter"/>
      <w:lvlText w:val="%5)"/>
      <w:lvlJc w:val="left"/>
      <w:pPr>
        <w:ind w:left="2096" w:hanging="420"/>
      </w:pPr>
    </w:lvl>
    <w:lvl w:ilvl="5">
      <w:start w:val="1"/>
      <w:numFmt w:val="lowerRoman"/>
      <w:lvlText w:val="%6."/>
      <w:lvlJc w:val="right"/>
      <w:pPr>
        <w:ind w:left="2516" w:hanging="420"/>
      </w:pPr>
    </w:lvl>
    <w:lvl w:ilvl="6">
      <w:start w:val="1"/>
      <w:numFmt w:val="decimal"/>
      <w:lvlText w:val="%7."/>
      <w:lvlJc w:val="left"/>
      <w:pPr>
        <w:ind w:left="2936" w:hanging="420"/>
      </w:pPr>
    </w:lvl>
    <w:lvl w:ilvl="7">
      <w:start w:val="1"/>
      <w:numFmt w:val="lowerLetter"/>
      <w:lvlText w:val="%8)"/>
      <w:lvlJc w:val="left"/>
      <w:pPr>
        <w:ind w:left="3356" w:hanging="420"/>
      </w:pPr>
    </w:lvl>
    <w:lvl w:ilvl="8">
      <w:start w:val="1"/>
      <w:numFmt w:val="lowerRoman"/>
      <w:lvlText w:val="%9."/>
      <w:lvlJc w:val="right"/>
      <w:pPr>
        <w:ind w:left="3776" w:hanging="420"/>
      </w:pPr>
    </w:lvl>
  </w:abstractNum>
  <w:num w:numId="1" w16cid:durableId="973370753">
    <w:abstractNumId w:val="1"/>
  </w:num>
  <w:num w:numId="2" w16cid:durableId="37350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A0"/>
    <w:rsid w:val="0015187E"/>
    <w:rsid w:val="008D44A0"/>
    <w:rsid w:val="00D31738"/>
    <w:rsid w:val="00F57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9F7D9"/>
  <w15:chartTrackingRefBased/>
  <w15:docId w15:val="{A41CA72B-12C9-48BF-928E-407F4DA8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738"/>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8D44A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D44A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D44A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D44A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D44A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8D44A0"/>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D44A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D44A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D44A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44A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D44A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D44A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D44A0"/>
    <w:rPr>
      <w:rFonts w:cstheme="majorBidi"/>
      <w:color w:val="2F5496" w:themeColor="accent1" w:themeShade="BF"/>
      <w:sz w:val="28"/>
      <w:szCs w:val="28"/>
    </w:rPr>
  </w:style>
  <w:style w:type="character" w:customStyle="1" w:styleId="50">
    <w:name w:val="标题 5 字符"/>
    <w:basedOn w:val="a0"/>
    <w:link w:val="5"/>
    <w:uiPriority w:val="9"/>
    <w:semiHidden/>
    <w:rsid w:val="008D44A0"/>
    <w:rPr>
      <w:rFonts w:cstheme="majorBidi"/>
      <w:color w:val="2F5496" w:themeColor="accent1" w:themeShade="BF"/>
      <w:sz w:val="24"/>
    </w:rPr>
  </w:style>
  <w:style w:type="character" w:customStyle="1" w:styleId="60">
    <w:name w:val="标题 6 字符"/>
    <w:basedOn w:val="a0"/>
    <w:link w:val="6"/>
    <w:uiPriority w:val="9"/>
    <w:semiHidden/>
    <w:rsid w:val="008D44A0"/>
    <w:rPr>
      <w:rFonts w:cstheme="majorBidi"/>
      <w:b/>
      <w:bCs/>
      <w:color w:val="2F5496" w:themeColor="accent1" w:themeShade="BF"/>
    </w:rPr>
  </w:style>
  <w:style w:type="character" w:customStyle="1" w:styleId="70">
    <w:name w:val="标题 7 字符"/>
    <w:basedOn w:val="a0"/>
    <w:link w:val="7"/>
    <w:uiPriority w:val="9"/>
    <w:semiHidden/>
    <w:rsid w:val="008D44A0"/>
    <w:rPr>
      <w:rFonts w:cstheme="majorBidi"/>
      <w:b/>
      <w:bCs/>
      <w:color w:val="595959" w:themeColor="text1" w:themeTint="A6"/>
    </w:rPr>
  </w:style>
  <w:style w:type="character" w:customStyle="1" w:styleId="80">
    <w:name w:val="标题 8 字符"/>
    <w:basedOn w:val="a0"/>
    <w:link w:val="8"/>
    <w:uiPriority w:val="9"/>
    <w:semiHidden/>
    <w:rsid w:val="008D44A0"/>
    <w:rPr>
      <w:rFonts w:cstheme="majorBidi"/>
      <w:color w:val="595959" w:themeColor="text1" w:themeTint="A6"/>
    </w:rPr>
  </w:style>
  <w:style w:type="character" w:customStyle="1" w:styleId="90">
    <w:name w:val="标题 9 字符"/>
    <w:basedOn w:val="a0"/>
    <w:link w:val="9"/>
    <w:uiPriority w:val="9"/>
    <w:semiHidden/>
    <w:rsid w:val="008D44A0"/>
    <w:rPr>
      <w:rFonts w:eastAsiaTheme="majorEastAsia" w:cstheme="majorBidi"/>
      <w:color w:val="595959" w:themeColor="text1" w:themeTint="A6"/>
    </w:rPr>
  </w:style>
  <w:style w:type="paragraph" w:styleId="a3">
    <w:name w:val="Title"/>
    <w:basedOn w:val="a"/>
    <w:next w:val="a"/>
    <w:link w:val="a4"/>
    <w:uiPriority w:val="10"/>
    <w:qFormat/>
    <w:rsid w:val="008D44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D44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44A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D44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44A0"/>
    <w:pPr>
      <w:spacing w:before="160"/>
      <w:jc w:val="center"/>
    </w:pPr>
    <w:rPr>
      <w:i/>
      <w:iCs/>
      <w:color w:val="404040" w:themeColor="text1" w:themeTint="BF"/>
    </w:rPr>
  </w:style>
  <w:style w:type="character" w:customStyle="1" w:styleId="a8">
    <w:name w:val="引用 字符"/>
    <w:basedOn w:val="a0"/>
    <w:link w:val="a7"/>
    <w:uiPriority w:val="29"/>
    <w:rsid w:val="008D44A0"/>
    <w:rPr>
      <w:i/>
      <w:iCs/>
      <w:color w:val="404040" w:themeColor="text1" w:themeTint="BF"/>
    </w:rPr>
  </w:style>
  <w:style w:type="paragraph" w:styleId="a9">
    <w:name w:val="List Paragraph"/>
    <w:basedOn w:val="a"/>
    <w:uiPriority w:val="34"/>
    <w:qFormat/>
    <w:rsid w:val="008D44A0"/>
    <w:pPr>
      <w:ind w:left="720"/>
      <w:contextualSpacing/>
    </w:pPr>
  </w:style>
  <w:style w:type="character" w:styleId="aa">
    <w:name w:val="Intense Emphasis"/>
    <w:basedOn w:val="a0"/>
    <w:uiPriority w:val="21"/>
    <w:qFormat/>
    <w:rsid w:val="008D44A0"/>
    <w:rPr>
      <w:i/>
      <w:iCs/>
      <w:color w:val="2F5496" w:themeColor="accent1" w:themeShade="BF"/>
    </w:rPr>
  </w:style>
  <w:style w:type="paragraph" w:styleId="ab">
    <w:name w:val="Intense Quote"/>
    <w:basedOn w:val="a"/>
    <w:next w:val="a"/>
    <w:link w:val="ac"/>
    <w:uiPriority w:val="30"/>
    <w:qFormat/>
    <w:rsid w:val="008D44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D44A0"/>
    <w:rPr>
      <w:i/>
      <w:iCs/>
      <w:color w:val="2F5496" w:themeColor="accent1" w:themeShade="BF"/>
    </w:rPr>
  </w:style>
  <w:style w:type="character" w:styleId="ad">
    <w:name w:val="Intense Reference"/>
    <w:basedOn w:val="a0"/>
    <w:uiPriority w:val="32"/>
    <w:qFormat/>
    <w:rsid w:val="008D44A0"/>
    <w:rPr>
      <w:b/>
      <w:bCs/>
      <w:smallCaps/>
      <w:color w:val="2F5496" w:themeColor="accent1" w:themeShade="BF"/>
      <w:spacing w:val="5"/>
    </w:rPr>
  </w:style>
  <w:style w:type="paragraph" w:styleId="ae">
    <w:name w:val="header"/>
    <w:basedOn w:val="a"/>
    <w:link w:val="af"/>
    <w:uiPriority w:val="99"/>
    <w:unhideWhenUsed/>
    <w:rsid w:val="00D31738"/>
    <w:pPr>
      <w:tabs>
        <w:tab w:val="center" w:pos="4153"/>
        <w:tab w:val="right" w:pos="8306"/>
      </w:tabs>
      <w:snapToGrid w:val="0"/>
      <w:jc w:val="center"/>
    </w:pPr>
    <w:rPr>
      <w:sz w:val="18"/>
      <w:szCs w:val="18"/>
    </w:rPr>
  </w:style>
  <w:style w:type="character" w:customStyle="1" w:styleId="af">
    <w:name w:val="页眉 字符"/>
    <w:basedOn w:val="a0"/>
    <w:link w:val="ae"/>
    <w:uiPriority w:val="99"/>
    <w:rsid w:val="00D31738"/>
    <w:rPr>
      <w:sz w:val="18"/>
      <w:szCs w:val="18"/>
    </w:rPr>
  </w:style>
  <w:style w:type="paragraph" w:styleId="af0">
    <w:name w:val="footer"/>
    <w:basedOn w:val="a"/>
    <w:link w:val="af1"/>
    <w:uiPriority w:val="99"/>
    <w:unhideWhenUsed/>
    <w:rsid w:val="00D31738"/>
    <w:pPr>
      <w:tabs>
        <w:tab w:val="center" w:pos="4153"/>
        <w:tab w:val="right" w:pos="8306"/>
      </w:tabs>
      <w:snapToGrid w:val="0"/>
    </w:pPr>
    <w:rPr>
      <w:sz w:val="18"/>
      <w:szCs w:val="18"/>
    </w:rPr>
  </w:style>
  <w:style w:type="character" w:customStyle="1" w:styleId="af1">
    <w:name w:val="页脚 字符"/>
    <w:basedOn w:val="a0"/>
    <w:link w:val="af0"/>
    <w:uiPriority w:val="99"/>
    <w:rsid w:val="00D31738"/>
    <w:rPr>
      <w:sz w:val="18"/>
      <w:szCs w:val="18"/>
    </w:rPr>
  </w:style>
  <w:style w:type="character" w:styleId="af2">
    <w:name w:val="annotation reference"/>
    <w:rsid w:val="00D31738"/>
    <w:rPr>
      <w:sz w:val="21"/>
      <w:szCs w:val="21"/>
    </w:rPr>
  </w:style>
  <w:style w:type="paragraph" w:customStyle="1" w:styleId="Bodytext1">
    <w:name w:val="Body text|1"/>
    <w:basedOn w:val="a"/>
    <w:autoRedefine/>
    <w:qFormat/>
    <w:rsid w:val="00D31738"/>
    <w:pPr>
      <w:spacing w:line="360" w:lineRule="auto"/>
      <w:jc w:val="left"/>
    </w:pPr>
    <w:rPr>
      <w:rFonts w:ascii="宋体" w:hAnsi="宋体" w:cs="宋体"/>
      <w:kern w:val="0"/>
      <w:sz w:val="24"/>
      <w:lang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2105</Words>
  <Characters>3074</Characters>
  <Application>Microsoft Office Word</Application>
  <DocSecurity>0</DocSecurity>
  <Lines>236</Lines>
  <Paragraphs>152</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2026-06-25T03:11:00Z</dcterms:created>
  <dcterms:modified xsi:type="dcterms:W3CDTF">2026-06-25T03:13:00Z</dcterms:modified>
</cp:coreProperties>
</file>