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700BBE">
      <w:pPr>
        <w:spacing w:line="360" w:lineRule="auto"/>
        <w:jc w:val="center"/>
        <w:rPr>
          <w:rFonts w:hint="eastAsia" w:ascii="宋体" w:hAnsi="宋体" w:eastAsia="宋体" w:cs="宋体"/>
          <w:color w:val="auto"/>
          <w:sz w:val="52"/>
          <w:szCs w:val="52"/>
          <w:highlight w:val="none"/>
        </w:rPr>
      </w:pPr>
    </w:p>
    <w:p w14:paraId="08BD4983">
      <w:pPr>
        <w:spacing w:line="360" w:lineRule="auto"/>
        <w:jc w:val="center"/>
        <w:rPr>
          <w:rFonts w:hint="eastAsia" w:ascii="宋体" w:hAnsi="宋体" w:eastAsia="宋体" w:cs="宋体"/>
          <w:color w:val="auto"/>
          <w:sz w:val="72"/>
          <w:szCs w:val="84"/>
          <w:highlight w:val="none"/>
        </w:rPr>
      </w:pPr>
      <w:r>
        <w:rPr>
          <w:rFonts w:hint="eastAsia" w:ascii="宋体" w:hAnsi="宋体" w:eastAsia="宋体" w:cs="宋体"/>
          <w:color w:val="auto"/>
          <w:sz w:val="72"/>
          <w:szCs w:val="84"/>
          <w:highlight w:val="none"/>
        </w:rPr>
        <w:t>广西国建项目管理有限公司</w:t>
      </w:r>
    </w:p>
    <w:p w14:paraId="534A33E0">
      <w:pPr>
        <w:bidi w:val="0"/>
        <w:spacing w:line="360" w:lineRule="auto"/>
        <w:rPr>
          <w:rFonts w:hint="eastAsia" w:ascii="宋体" w:hAnsi="宋体" w:eastAsia="宋体" w:cs="宋体"/>
          <w:color w:val="auto"/>
          <w:sz w:val="28"/>
          <w:szCs w:val="36"/>
          <w:highlight w:val="none"/>
        </w:rPr>
      </w:pPr>
    </w:p>
    <w:p w14:paraId="731C6FCB">
      <w:pPr>
        <w:spacing w:before="156" w:beforeLines="50" w:line="360" w:lineRule="auto"/>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竞争性磋商文件</w:t>
      </w:r>
    </w:p>
    <w:p w14:paraId="6A190863">
      <w:pPr>
        <w:pStyle w:val="8"/>
        <w:snapToGrid w:val="0"/>
        <w:spacing w:before="120" w:after="120" w:line="360" w:lineRule="auto"/>
        <w:rPr>
          <w:rFonts w:hint="eastAsia" w:ascii="宋体" w:hAnsi="宋体" w:eastAsia="宋体" w:cs="宋体"/>
          <w:b/>
          <w:bCs/>
          <w:color w:val="auto"/>
          <w:sz w:val="30"/>
          <w:szCs w:val="30"/>
          <w:highlight w:val="none"/>
        </w:rPr>
      </w:pPr>
    </w:p>
    <w:p w14:paraId="73932386">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INCLUDEPICTURE "C:\\Users\\ADMINI~1\\AppData\\Local\\Temp\\ksohtml576\\wps1.png" \* MERGEFORMATINET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drawing>
          <wp:inline distT="0" distB="0" distL="114300" distR="114300">
            <wp:extent cx="2095500" cy="1599565"/>
            <wp:effectExtent l="0" t="0" r="0" b="635"/>
            <wp:docPr id="2" name="图片 1"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wps1"/>
                    <pic:cNvPicPr>
                      <a:picLocks noChangeAspect="1"/>
                    </pic:cNvPicPr>
                  </pic:nvPicPr>
                  <pic:blipFill>
                    <a:blip r:embed="rId10"/>
                    <a:stretch>
                      <a:fillRect/>
                    </a:stretch>
                  </pic:blipFill>
                  <pic:spPr>
                    <a:xfrm>
                      <a:off x="0" y="0"/>
                      <a:ext cx="2095500" cy="1599565"/>
                    </a:xfrm>
                    <a:prstGeom prst="rect">
                      <a:avLst/>
                    </a:prstGeom>
                    <a:noFill/>
                    <a:ln>
                      <a:noFill/>
                    </a:ln>
                  </pic:spPr>
                </pic:pic>
              </a:graphicData>
            </a:graphic>
          </wp:inline>
        </w:drawing>
      </w:r>
      <w:r>
        <w:rPr>
          <w:rFonts w:hint="eastAsia" w:ascii="宋体" w:hAnsi="宋体" w:eastAsia="宋体" w:cs="宋体"/>
          <w:color w:val="auto"/>
          <w:highlight w:val="none"/>
        </w:rPr>
        <w:fldChar w:fldCharType="end"/>
      </w:r>
    </w:p>
    <w:p w14:paraId="1AE668CE">
      <w:pPr>
        <w:pStyle w:val="8"/>
        <w:snapToGrid w:val="0"/>
        <w:spacing w:before="120" w:after="120" w:line="360" w:lineRule="auto"/>
        <w:jc w:val="left"/>
        <w:rPr>
          <w:rFonts w:hint="eastAsia" w:ascii="宋体" w:hAnsi="宋体" w:eastAsia="宋体" w:cs="宋体"/>
          <w:b/>
          <w:bCs/>
          <w:color w:val="auto"/>
          <w:sz w:val="32"/>
          <w:szCs w:val="36"/>
          <w:highlight w:val="none"/>
        </w:rPr>
      </w:pPr>
    </w:p>
    <w:p w14:paraId="4546092A">
      <w:pPr>
        <w:pStyle w:val="8"/>
        <w:snapToGrid w:val="0"/>
        <w:spacing w:before="120" w:after="120" w:line="360" w:lineRule="auto"/>
        <w:ind w:firstLine="1084" w:firstLineChars="300"/>
        <w:jc w:val="left"/>
        <w:rPr>
          <w:rFonts w:hint="eastAsia" w:ascii="宋体" w:hAnsi="宋体" w:eastAsia="宋体" w:cs="宋体"/>
          <w:b/>
          <w:bCs/>
          <w:color w:val="auto"/>
          <w:sz w:val="36"/>
          <w:szCs w:val="36"/>
          <w:highlight w:val="none"/>
          <w:lang w:eastAsia="zh-CN"/>
        </w:rPr>
      </w:pPr>
      <w:r>
        <w:rPr>
          <w:rFonts w:hint="eastAsia" w:ascii="宋体" w:hAnsi="宋体" w:eastAsia="宋体" w:cs="宋体"/>
          <w:b/>
          <w:bCs/>
          <w:color w:val="auto"/>
          <w:sz w:val="36"/>
          <w:szCs w:val="36"/>
          <w:highlight w:val="none"/>
        </w:rPr>
        <w:t>采购项目编号：</w:t>
      </w:r>
      <w:r>
        <w:rPr>
          <w:rFonts w:hint="eastAsia" w:hAnsi="宋体" w:eastAsia="宋体" w:cs="宋体"/>
          <w:b/>
          <w:bCs/>
          <w:color w:val="auto"/>
          <w:sz w:val="36"/>
          <w:szCs w:val="36"/>
          <w:highlight w:val="none"/>
          <w:lang w:eastAsia="zh-CN"/>
        </w:rPr>
        <w:t>GXGJ2026-C0133-S</w:t>
      </w:r>
    </w:p>
    <w:p w14:paraId="41220144">
      <w:pPr>
        <w:pStyle w:val="8"/>
        <w:snapToGrid w:val="0"/>
        <w:spacing w:before="120" w:after="120" w:line="360" w:lineRule="auto"/>
        <w:ind w:left="3607" w:leftChars="513" w:hanging="2530" w:hangingChars="700"/>
        <w:jc w:val="left"/>
        <w:rPr>
          <w:rFonts w:hint="eastAsia" w:ascii="宋体" w:hAnsi="宋体" w:eastAsia="宋体" w:cs="宋体"/>
          <w:b/>
          <w:bCs/>
          <w:color w:val="auto"/>
          <w:sz w:val="36"/>
          <w:szCs w:val="36"/>
          <w:highlight w:val="none"/>
        </w:rPr>
      </w:pPr>
      <w:r>
        <w:rPr>
          <w:rFonts w:hint="eastAsia" w:ascii="宋体" w:hAnsi="宋体" w:eastAsia="宋体" w:cs="宋体"/>
          <w:b/>
          <w:color w:val="auto"/>
          <w:sz w:val="36"/>
          <w:szCs w:val="36"/>
          <w:highlight w:val="none"/>
        </w:rPr>
        <w:t>采购项目名称：</w:t>
      </w:r>
      <w:r>
        <w:rPr>
          <w:rFonts w:hint="eastAsia" w:hAnsi="宋体" w:eastAsia="宋体" w:cs="宋体"/>
          <w:b/>
          <w:color w:val="auto"/>
          <w:sz w:val="36"/>
          <w:szCs w:val="36"/>
          <w:highlight w:val="none"/>
          <w:lang w:eastAsia="zh-CN"/>
        </w:rPr>
        <w:t>南宁市朱槿商业保理有限公司主体信用评级项目</w:t>
      </w:r>
      <w:r>
        <w:rPr>
          <w:rFonts w:hint="eastAsia" w:ascii="宋体" w:hAnsi="宋体" w:eastAsia="宋体" w:cs="宋体"/>
          <w:b/>
          <w:color w:val="auto"/>
          <w:sz w:val="36"/>
          <w:szCs w:val="36"/>
          <w:highlight w:val="none"/>
        </w:rPr>
        <w:t xml:space="preserve"> </w:t>
      </w:r>
    </w:p>
    <w:p w14:paraId="17A8680A">
      <w:pPr>
        <w:pBdr>
          <w:bottom w:val="thickThinSmallGap" w:color="auto" w:sz="24" w:space="1"/>
        </w:pBdr>
        <w:snapToGrid w:val="0"/>
        <w:spacing w:before="156" w:beforeLines="50" w:line="360" w:lineRule="auto"/>
        <w:ind w:firstLine="2715" w:firstLineChars="845"/>
        <w:jc w:val="left"/>
        <w:rPr>
          <w:rFonts w:hint="eastAsia" w:ascii="宋体" w:hAnsi="宋体" w:eastAsia="宋体" w:cs="宋体"/>
          <w:b/>
          <w:color w:val="auto"/>
          <w:sz w:val="32"/>
          <w:szCs w:val="36"/>
          <w:highlight w:val="none"/>
        </w:rPr>
      </w:pPr>
    </w:p>
    <w:p w14:paraId="09EA0B9E">
      <w:pPr>
        <w:snapToGrid w:val="0"/>
        <w:spacing w:before="156" w:beforeLines="50" w:line="360" w:lineRule="auto"/>
        <w:ind w:firstLine="1506" w:firstLineChars="500"/>
        <w:jc w:val="left"/>
        <w:rPr>
          <w:rFonts w:hint="eastAsia" w:ascii="宋体" w:hAnsi="宋体" w:eastAsia="宋体" w:cs="宋体"/>
          <w:b/>
          <w:color w:val="auto"/>
          <w:sz w:val="30"/>
          <w:szCs w:val="72"/>
          <w:highlight w:val="none"/>
        </w:rPr>
      </w:pPr>
      <w:r>
        <w:rPr>
          <w:rFonts w:hint="eastAsia" w:ascii="宋体" w:hAnsi="宋体" w:eastAsia="宋体" w:cs="宋体"/>
          <w:b/>
          <w:color w:val="auto"/>
          <w:sz w:val="30"/>
          <w:szCs w:val="72"/>
          <w:highlight w:val="none"/>
        </w:rPr>
        <w:t>采   购   人：</w:t>
      </w:r>
      <w:r>
        <w:rPr>
          <w:rFonts w:hint="eastAsia" w:ascii="宋体" w:hAnsi="宋体" w:eastAsia="宋体" w:cs="宋体"/>
          <w:b/>
          <w:color w:val="auto"/>
          <w:sz w:val="30"/>
          <w:szCs w:val="72"/>
          <w:highlight w:val="none"/>
          <w:lang w:eastAsia="zh-CN"/>
        </w:rPr>
        <w:t>南宁市朱槿商业保理有限公司</w:t>
      </w:r>
      <w:r>
        <w:rPr>
          <w:rFonts w:hint="eastAsia" w:ascii="宋体" w:hAnsi="宋体" w:eastAsia="宋体" w:cs="宋体"/>
          <w:b/>
          <w:color w:val="auto"/>
          <w:sz w:val="30"/>
          <w:szCs w:val="72"/>
          <w:highlight w:val="none"/>
        </w:rPr>
        <w:t xml:space="preserve"> </w:t>
      </w:r>
    </w:p>
    <w:p w14:paraId="10DD4DE8">
      <w:pPr>
        <w:snapToGrid w:val="0"/>
        <w:spacing w:before="156" w:beforeLines="50" w:line="360" w:lineRule="auto"/>
        <w:ind w:firstLine="1506" w:firstLineChars="500"/>
        <w:jc w:val="left"/>
        <w:rPr>
          <w:rFonts w:hint="eastAsia" w:ascii="宋体" w:hAnsi="宋体" w:eastAsia="宋体" w:cs="宋体"/>
          <w:b/>
          <w:color w:val="auto"/>
          <w:sz w:val="30"/>
          <w:szCs w:val="72"/>
          <w:highlight w:val="none"/>
        </w:rPr>
      </w:pPr>
      <w:r>
        <w:rPr>
          <w:rFonts w:hint="eastAsia" w:ascii="宋体" w:hAnsi="宋体" w:eastAsia="宋体" w:cs="宋体"/>
          <w:b/>
          <w:color w:val="auto"/>
          <w:sz w:val="30"/>
          <w:szCs w:val="72"/>
          <w:highlight w:val="none"/>
        </w:rPr>
        <w:t>采购代理机构：广西国建项目管理有限公司</w:t>
      </w:r>
    </w:p>
    <w:p w14:paraId="75ACBC74">
      <w:pPr>
        <w:snapToGrid w:val="0"/>
        <w:spacing w:before="156" w:beforeLines="50" w:line="360" w:lineRule="auto"/>
        <w:jc w:val="center"/>
        <w:rPr>
          <w:rFonts w:hint="eastAsia" w:ascii="宋体" w:hAnsi="宋体" w:eastAsia="宋体" w:cs="宋体"/>
          <w:b/>
          <w:color w:val="auto"/>
          <w:sz w:val="30"/>
          <w:szCs w:val="72"/>
          <w:highlight w:val="none"/>
        </w:rPr>
      </w:pPr>
      <w:r>
        <w:rPr>
          <w:rFonts w:hint="eastAsia" w:ascii="宋体" w:hAnsi="宋体" w:eastAsia="宋体" w:cs="宋体"/>
          <w:b/>
          <w:color w:val="auto"/>
          <w:sz w:val="30"/>
          <w:szCs w:val="72"/>
          <w:highlight w:val="none"/>
          <w:lang w:val="en-US" w:eastAsia="zh-CN"/>
        </w:rPr>
        <w:t>2026</w:t>
      </w:r>
      <w:r>
        <w:rPr>
          <w:rFonts w:hint="eastAsia" w:ascii="宋体" w:hAnsi="宋体" w:eastAsia="宋体" w:cs="宋体"/>
          <w:b/>
          <w:color w:val="auto"/>
          <w:sz w:val="30"/>
          <w:szCs w:val="72"/>
          <w:highlight w:val="none"/>
        </w:rPr>
        <w:t>年</w:t>
      </w:r>
      <w:r>
        <w:rPr>
          <w:rFonts w:hint="eastAsia" w:ascii="宋体" w:hAnsi="宋体" w:eastAsia="宋体" w:cs="宋体"/>
          <w:b/>
          <w:color w:val="auto"/>
          <w:sz w:val="30"/>
          <w:szCs w:val="72"/>
          <w:highlight w:val="none"/>
          <w:lang w:val="en-US" w:eastAsia="zh-CN"/>
        </w:rPr>
        <w:t>7</w:t>
      </w:r>
      <w:r>
        <w:rPr>
          <w:rFonts w:hint="eastAsia" w:ascii="宋体" w:hAnsi="宋体" w:eastAsia="宋体" w:cs="宋体"/>
          <w:b/>
          <w:color w:val="auto"/>
          <w:sz w:val="30"/>
          <w:szCs w:val="72"/>
          <w:highlight w:val="none"/>
        </w:rPr>
        <w:t>月</w:t>
      </w:r>
    </w:p>
    <w:p w14:paraId="021DEE1A">
      <w:pPr>
        <w:spacing w:line="360" w:lineRule="auto"/>
        <w:jc w:val="center"/>
        <w:rPr>
          <w:rFonts w:hint="eastAsia" w:ascii="宋体" w:hAnsi="宋体" w:eastAsia="宋体" w:cs="宋体"/>
          <w:b/>
          <w:color w:val="auto"/>
          <w:sz w:val="32"/>
          <w:szCs w:val="32"/>
          <w:highlight w:val="none"/>
        </w:rPr>
        <w:sectPr>
          <w:pgSz w:w="11910" w:h="16840"/>
          <w:pgMar w:top="1338" w:right="1440" w:bottom="1338" w:left="1440" w:header="720" w:footer="720" w:gutter="0"/>
          <w:pgNumType w:start="1"/>
          <w:cols w:space="720" w:num="1"/>
          <w:docGrid w:type="lines" w:linePitch="312" w:charSpace="0"/>
        </w:sectPr>
      </w:pPr>
    </w:p>
    <w:p w14:paraId="44719C6C">
      <w:pPr>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目  录</w:t>
      </w:r>
    </w:p>
    <w:p w14:paraId="1C93258A">
      <w:pPr>
        <w:bidi w:val="0"/>
        <w:spacing w:line="360" w:lineRule="auto"/>
        <w:rPr>
          <w:rFonts w:hint="eastAsia" w:ascii="宋体" w:hAnsi="宋体" w:eastAsia="宋体" w:cs="宋体"/>
          <w:color w:val="auto"/>
          <w:highlight w:val="none"/>
        </w:rPr>
      </w:pPr>
    </w:p>
    <w:p w14:paraId="3AE17B52">
      <w:pPr>
        <w:pStyle w:val="10"/>
        <w:tabs>
          <w:tab w:val="right" w:leader="dot" w:pos="9026"/>
        </w:tabs>
        <w:rPr>
          <w:highlight w:val="none"/>
        </w:rPr>
      </w:pPr>
      <w:r>
        <w:rPr>
          <w:rFonts w:hint="eastAsia" w:ascii="宋体" w:hAnsi="宋体" w:eastAsia="宋体" w:cs="宋体"/>
          <w:b/>
          <w:color w:val="auto"/>
          <w:sz w:val="56"/>
          <w:szCs w:val="56"/>
          <w:highlight w:val="none"/>
        </w:rPr>
        <w:fldChar w:fldCharType="begin"/>
      </w:r>
      <w:r>
        <w:rPr>
          <w:rFonts w:hint="eastAsia" w:ascii="宋体" w:hAnsi="宋体" w:eastAsia="宋体" w:cs="宋体"/>
          <w:b/>
          <w:color w:val="auto"/>
          <w:sz w:val="56"/>
          <w:szCs w:val="56"/>
          <w:highlight w:val="none"/>
        </w:rPr>
        <w:instrText xml:space="preserve"> TOC \o "1-1" \h \z \u </w:instrText>
      </w:r>
      <w:r>
        <w:rPr>
          <w:rFonts w:hint="eastAsia" w:ascii="宋体" w:hAnsi="宋体" w:eastAsia="宋体" w:cs="宋体"/>
          <w:b/>
          <w:color w:val="auto"/>
          <w:sz w:val="56"/>
          <w:szCs w:val="56"/>
          <w:highlight w:val="none"/>
        </w:rPr>
        <w:fldChar w:fldCharType="separate"/>
      </w:r>
      <w:r>
        <w:rPr>
          <w:rFonts w:hint="eastAsia" w:ascii="宋体" w:hAnsi="宋体" w:eastAsia="宋体" w:cs="宋体"/>
          <w:color w:val="auto"/>
          <w:szCs w:val="56"/>
          <w:highlight w:val="none"/>
        </w:rPr>
        <w:fldChar w:fldCharType="begin"/>
      </w:r>
      <w:r>
        <w:rPr>
          <w:rFonts w:hint="eastAsia" w:ascii="宋体" w:hAnsi="宋体" w:eastAsia="宋体" w:cs="宋体"/>
          <w:szCs w:val="56"/>
          <w:highlight w:val="none"/>
        </w:rPr>
        <w:instrText xml:space="preserve"> HYPERLINK \l _Toc14625 </w:instrText>
      </w:r>
      <w:r>
        <w:rPr>
          <w:rFonts w:hint="eastAsia" w:ascii="宋体" w:hAnsi="宋体" w:eastAsia="宋体" w:cs="宋体"/>
          <w:szCs w:val="56"/>
          <w:highlight w:val="none"/>
        </w:rPr>
        <w:fldChar w:fldCharType="separate"/>
      </w:r>
      <w:r>
        <w:rPr>
          <w:rFonts w:hint="eastAsia" w:ascii="宋体" w:hAnsi="宋体" w:eastAsia="宋体" w:cs="宋体"/>
          <w:szCs w:val="44"/>
          <w:highlight w:val="none"/>
        </w:rPr>
        <w:t>第一章  竞争性磋商公告</w:t>
      </w:r>
      <w:r>
        <w:rPr>
          <w:highlight w:val="none"/>
        </w:rPr>
        <w:tab/>
      </w:r>
      <w:r>
        <w:rPr>
          <w:highlight w:val="none"/>
        </w:rPr>
        <w:fldChar w:fldCharType="begin"/>
      </w:r>
      <w:r>
        <w:rPr>
          <w:highlight w:val="none"/>
        </w:rPr>
        <w:instrText xml:space="preserve"> PAGEREF _Toc14625 \h </w:instrText>
      </w:r>
      <w:r>
        <w:rPr>
          <w:highlight w:val="none"/>
        </w:rPr>
        <w:fldChar w:fldCharType="separate"/>
      </w:r>
      <w:r>
        <w:rPr>
          <w:highlight w:val="none"/>
        </w:rPr>
        <w:t>2</w:t>
      </w:r>
      <w:r>
        <w:rPr>
          <w:highlight w:val="none"/>
        </w:rPr>
        <w:fldChar w:fldCharType="end"/>
      </w:r>
      <w:r>
        <w:rPr>
          <w:rFonts w:hint="eastAsia" w:ascii="宋体" w:hAnsi="宋体" w:eastAsia="宋体" w:cs="宋体"/>
          <w:color w:val="auto"/>
          <w:szCs w:val="56"/>
          <w:highlight w:val="none"/>
        </w:rPr>
        <w:fldChar w:fldCharType="end"/>
      </w:r>
    </w:p>
    <w:p w14:paraId="08C80164">
      <w:pPr>
        <w:pStyle w:val="10"/>
        <w:tabs>
          <w:tab w:val="right" w:leader="dot" w:pos="9026"/>
        </w:tabs>
        <w:rPr>
          <w:highlight w:val="none"/>
        </w:rPr>
      </w:pPr>
      <w:r>
        <w:rPr>
          <w:rFonts w:hint="eastAsia" w:ascii="宋体" w:hAnsi="宋体" w:eastAsia="宋体" w:cs="宋体"/>
          <w:color w:val="auto"/>
          <w:szCs w:val="56"/>
          <w:highlight w:val="none"/>
        </w:rPr>
        <w:fldChar w:fldCharType="begin"/>
      </w:r>
      <w:r>
        <w:rPr>
          <w:rFonts w:hint="eastAsia" w:ascii="宋体" w:hAnsi="宋体" w:eastAsia="宋体" w:cs="宋体"/>
          <w:szCs w:val="56"/>
          <w:highlight w:val="none"/>
        </w:rPr>
        <w:instrText xml:space="preserve"> HYPERLINK \l _Toc21873 </w:instrText>
      </w:r>
      <w:r>
        <w:rPr>
          <w:rFonts w:hint="eastAsia" w:ascii="宋体" w:hAnsi="宋体" w:eastAsia="宋体" w:cs="宋体"/>
          <w:szCs w:val="56"/>
          <w:highlight w:val="none"/>
        </w:rPr>
        <w:fldChar w:fldCharType="separate"/>
      </w:r>
      <w:r>
        <w:rPr>
          <w:rFonts w:hint="eastAsia" w:ascii="宋体" w:hAnsi="宋体" w:eastAsia="宋体" w:cs="宋体"/>
          <w:szCs w:val="44"/>
          <w:highlight w:val="none"/>
        </w:rPr>
        <w:t>第二章  磋商供应商须知</w:t>
      </w:r>
      <w:r>
        <w:rPr>
          <w:highlight w:val="none"/>
        </w:rPr>
        <w:tab/>
      </w:r>
      <w:r>
        <w:rPr>
          <w:highlight w:val="none"/>
        </w:rPr>
        <w:fldChar w:fldCharType="begin"/>
      </w:r>
      <w:r>
        <w:rPr>
          <w:highlight w:val="none"/>
        </w:rPr>
        <w:instrText xml:space="preserve"> PAGEREF _Toc21873 \h </w:instrText>
      </w:r>
      <w:r>
        <w:rPr>
          <w:highlight w:val="none"/>
        </w:rPr>
        <w:fldChar w:fldCharType="separate"/>
      </w:r>
      <w:r>
        <w:rPr>
          <w:highlight w:val="none"/>
        </w:rPr>
        <w:t>7</w:t>
      </w:r>
      <w:r>
        <w:rPr>
          <w:highlight w:val="none"/>
        </w:rPr>
        <w:fldChar w:fldCharType="end"/>
      </w:r>
      <w:r>
        <w:rPr>
          <w:rFonts w:hint="eastAsia" w:ascii="宋体" w:hAnsi="宋体" w:eastAsia="宋体" w:cs="宋体"/>
          <w:color w:val="auto"/>
          <w:szCs w:val="56"/>
          <w:highlight w:val="none"/>
        </w:rPr>
        <w:fldChar w:fldCharType="end"/>
      </w:r>
    </w:p>
    <w:p w14:paraId="444E0973">
      <w:pPr>
        <w:pStyle w:val="10"/>
        <w:tabs>
          <w:tab w:val="right" w:leader="dot" w:pos="9026"/>
        </w:tabs>
        <w:rPr>
          <w:highlight w:val="none"/>
        </w:rPr>
      </w:pPr>
      <w:r>
        <w:rPr>
          <w:rFonts w:hint="eastAsia" w:ascii="宋体" w:hAnsi="宋体" w:eastAsia="宋体" w:cs="宋体"/>
          <w:color w:val="auto"/>
          <w:szCs w:val="56"/>
          <w:highlight w:val="none"/>
        </w:rPr>
        <w:fldChar w:fldCharType="begin"/>
      </w:r>
      <w:r>
        <w:rPr>
          <w:rFonts w:hint="eastAsia" w:ascii="宋体" w:hAnsi="宋体" w:eastAsia="宋体" w:cs="宋体"/>
          <w:szCs w:val="56"/>
          <w:highlight w:val="none"/>
        </w:rPr>
        <w:instrText xml:space="preserve"> HYPERLINK \l _Toc22263 </w:instrText>
      </w:r>
      <w:r>
        <w:rPr>
          <w:rFonts w:hint="eastAsia" w:ascii="宋体" w:hAnsi="宋体" w:eastAsia="宋体" w:cs="宋体"/>
          <w:szCs w:val="56"/>
          <w:highlight w:val="none"/>
        </w:rPr>
        <w:fldChar w:fldCharType="separate"/>
      </w:r>
      <w:r>
        <w:rPr>
          <w:rFonts w:hint="eastAsia" w:ascii="宋体" w:hAnsi="宋体" w:eastAsia="宋体" w:cs="宋体"/>
          <w:szCs w:val="44"/>
          <w:highlight w:val="none"/>
        </w:rPr>
        <w:t>第三章  采购需求</w:t>
      </w:r>
      <w:r>
        <w:rPr>
          <w:highlight w:val="none"/>
        </w:rPr>
        <w:tab/>
      </w:r>
      <w:r>
        <w:rPr>
          <w:highlight w:val="none"/>
        </w:rPr>
        <w:fldChar w:fldCharType="begin"/>
      </w:r>
      <w:r>
        <w:rPr>
          <w:highlight w:val="none"/>
        </w:rPr>
        <w:instrText xml:space="preserve"> PAGEREF _Toc22263 \h </w:instrText>
      </w:r>
      <w:r>
        <w:rPr>
          <w:highlight w:val="none"/>
        </w:rPr>
        <w:fldChar w:fldCharType="separate"/>
      </w:r>
      <w:r>
        <w:rPr>
          <w:highlight w:val="none"/>
        </w:rPr>
        <w:t>21</w:t>
      </w:r>
      <w:r>
        <w:rPr>
          <w:highlight w:val="none"/>
        </w:rPr>
        <w:fldChar w:fldCharType="end"/>
      </w:r>
      <w:r>
        <w:rPr>
          <w:rFonts w:hint="eastAsia" w:ascii="宋体" w:hAnsi="宋体" w:eastAsia="宋体" w:cs="宋体"/>
          <w:color w:val="auto"/>
          <w:szCs w:val="56"/>
          <w:highlight w:val="none"/>
        </w:rPr>
        <w:fldChar w:fldCharType="end"/>
      </w:r>
    </w:p>
    <w:p w14:paraId="1D1BCA1E">
      <w:pPr>
        <w:pStyle w:val="10"/>
        <w:tabs>
          <w:tab w:val="right" w:leader="dot" w:pos="9026"/>
        </w:tabs>
        <w:rPr>
          <w:highlight w:val="none"/>
        </w:rPr>
      </w:pPr>
      <w:r>
        <w:rPr>
          <w:rFonts w:hint="eastAsia" w:ascii="宋体" w:hAnsi="宋体" w:eastAsia="宋体" w:cs="宋体"/>
          <w:color w:val="auto"/>
          <w:szCs w:val="56"/>
          <w:highlight w:val="none"/>
        </w:rPr>
        <w:fldChar w:fldCharType="begin"/>
      </w:r>
      <w:r>
        <w:rPr>
          <w:rFonts w:hint="eastAsia" w:ascii="宋体" w:hAnsi="宋体" w:eastAsia="宋体" w:cs="宋体"/>
          <w:szCs w:val="56"/>
          <w:highlight w:val="none"/>
        </w:rPr>
        <w:instrText xml:space="preserve"> HYPERLINK \l _Toc20020 </w:instrText>
      </w:r>
      <w:r>
        <w:rPr>
          <w:rFonts w:hint="eastAsia" w:ascii="宋体" w:hAnsi="宋体" w:eastAsia="宋体" w:cs="宋体"/>
          <w:szCs w:val="56"/>
          <w:highlight w:val="none"/>
        </w:rPr>
        <w:fldChar w:fldCharType="separate"/>
      </w:r>
      <w:r>
        <w:rPr>
          <w:rFonts w:hint="eastAsia" w:ascii="宋体" w:hAnsi="宋体" w:eastAsia="宋体" w:cs="宋体"/>
          <w:szCs w:val="44"/>
          <w:highlight w:val="none"/>
        </w:rPr>
        <w:t>第四章  竞争性磋商响应文件格式</w:t>
      </w:r>
      <w:r>
        <w:rPr>
          <w:highlight w:val="none"/>
        </w:rPr>
        <w:tab/>
      </w:r>
      <w:r>
        <w:rPr>
          <w:highlight w:val="none"/>
        </w:rPr>
        <w:fldChar w:fldCharType="begin"/>
      </w:r>
      <w:r>
        <w:rPr>
          <w:highlight w:val="none"/>
        </w:rPr>
        <w:instrText xml:space="preserve"> PAGEREF _Toc20020 \h </w:instrText>
      </w:r>
      <w:r>
        <w:rPr>
          <w:highlight w:val="none"/>
        </w:rPr>
        <w:fldChar w:fldCharType="separate"/>
      </w:r>
      <w:r>
        <w:rPr>
          <w:highlight w:val="none"/>
        </w:rPr>
        <w:t>24</w:t>
      </w:r>
      <w:r>
        <w:rPr>
          <w:highlight w:val="none"/>
        </w:rPr>
        <w:fldChar w:fldCharType="end"/>
      </w:r>
      <w:r>
        <w:rPr>
          <w:rFonts w:hint="eastAsia" w:ascii="宋体" w:hAnsi="宋体" w:eastAsia="宋体" w:cs="宋体"/>
          <w:color w:val="auto"/>
          <w:szCs w:val="56"/>
          <w:highlight w:val="none"/>
        </w:rPr>
        <w:fldChar w:fldCharType="end"/>
      </w:r>
    </w:p>
    <w:p w14:paraId="3B394824">
      <w:pPr>
        <w:pStyle w:val="10"/>
        <w:tabs>
          <w:tab w:val="right" w:leader="dot" w:pos="9026"/>
        </w:tabs>
        <w:rPr>
          <w:highlight w:val="none"/>
        </w:rPr>
      </w:pPr>
      <w:r>
        <w:rPr>
          <w:rFonts w:hint="eastAsia" w:ascii="宋体" w:hAnsi="宋体" w:eastAsia="宋体" w:cs="宋体"/>
          <w:color w:val="auto"/>
          <w:szCs w:val="56"/>
          <w:highlight w:val="none"/>
        </w:rPr>
        <w:fldChar w:fldCharType="begin"/>
      </w:r>
      <w:r>
        <w:rPr>
          <w:rFonts w:hint="eastAsia" w:ascii="宋体" w:hAnsi="宋体" w:eastAsia="宋体" w:cs="宋体"/>
          <w:szCs w:val="56"/>
          <w:highlight w:val="none"/>
        </w:rPr>
        <w:instrText xml:space="preserve"> HYPERLINK \l _Toc14210 </w:instrText>
      </w:r>
      <w:r>
        <w:rPr>
          <w:rFonts w:hint="eastAsia" w:ascii="宋体" w:hAnsi="宋体" w:eastAsia="宋体" w:cs="宋体"/>
          <w:szCs w:val="56"/>
          <w:highlight w:val="none"/>
        </w:rPr>
        <w:fldChar w:fldCharType="separate"/>
      </w:r>
      <w:r>
        <w:rPr>
          <w:rFonts w:hint="eastAsia" w:ascii="宋体" w:hAnsi="宋体" w:eastAsia="宋体" w:cs="宋体"/>
          <w:kern w:val="0"/>
          <w:szCs w:val="44"/>
          <w:highlight w:val="none"/>
        </w:rPr>
        <w:t>第五章  合同主要条款</w:t>
      </w:r>
      <w:r>
        <w:rPr>
          <w:highlight w:val="none"/>
        </w:rPr>
        <w:tab/>
      </w:r>
      <w:r>
        <w:rPr>
          <w:highlight w:val="none"/>
        </w:rPr>
        <w:fldChar w:fldCharType="begin"/>
      </w:r>
      <w:r>
        <w:rPr>
          <w:highlight w:val="none"/>
        </w:rPr>
        <w:instrText xml:space="preserve"> PAGEREF _Toc14210 \h </w:instrText>
      </w:r>
      <w:r>
        <w:rPr>
          <w:highlight w:val="none"/>
        </w:rPr>
        <w:fldChar w:fldCharType="separate"/>
      </w:r>
      <w:r>
        <w:rPr>
          <w:highlight w:val="none"/>
        </w:rPr>
        <w:t>32</w:t>
      </w:r>
      <w:r>
        <w:rPr>
          <w:highlight w:val="none"/>
        </w:rPr>
        <w:fldChar w:fldCharType="end"/>
      </w:r>
      <w:r>
        <w:rPr>
          <w:rFonts w:hint="eastAsia" w:ascii="宋体" w:hAnsi="宋体" w:eastAsia="宋体" w:cs="宋体"/>
          <w:color w:val="auto"/>
          <w:szCs w:val="56"/>
          <w:highlight w:val="none"/>
        </w:rPr>
        <w:fldChar w:fldCharType="end"/>
      </w:r>
    </w:p>
    <w:p w14:paraId="1D283073">
      <w:pPr>
        <w:pStyle w:val="10"/>
        <w:tabs>
          <w:tab w:val="right" w:leader="dot" w:pos="9026"/>
        </w:tabs>
        <w:rPr>
          <w:highlight w:val="none"/>
        </w:rPr>
      </w:pPr>
      <w:r>
        <w:rPr>
          <w:rFonts w:hint="eastAsia" w:ascii="宋体" w:hAnsi="宋体" w:eastAsia="宋体" w:cs="宋体"/>
          <w:color w:val="auto"/>
          <w:szCs w:val="56"/>
          <w:highlight w:val="none"/>
        </w:rPr>
        <w:fldChar w:fldCharType="begin"/>
      </w:r>
      <w:r>
        <w:rPr>
          <w:rFonts w:hint="eastAsia" w:ascii="宋体" w:hAnsi="宋体" w:eastAsia="宋体" w:cs="宋体"/>
          <w:szCs w:val="56"/>
          <w:highlight w:val="none"/>
        </w:rPr>
        <w:instrText xml:space="preserve"> HYPERLINK \l _Toc1844 </w:instrText>
      </w:r>
      <w:r>
        <w:rPr>
          <w:rFonts w:hint="eastAsia" w:ascii="宋体" w:hAnsi="宋体" w:eastAsia="宋体" w:cs="宋体"/>
          <w:szCs w:val="56"/>
          <w:highlight w:val="none"/>
        </w:rPr>
        <w:fldChar w:fldCharType="separate"/>
      </w:r>
      <w:r>
        <w:rPr>
          <w:rFonts w:hint="eastAsia" w:ascii="宋体" w:hAnsi="宋体" w:eastAsia="宋体" w:cs="宋体"/>
          <w:kern w:val="0"/>
          <w:szCs w:val="44"/>
          <w:highlight w:val="none"/>
        </w:rPr>
        <w:t>第六章  评标标准</w:t>
      </w:r>
      <w:r>
        <w:rPr>
          <w:highlight w:val="none"/>
        </w:rPr>
        <w:tab/>
      </w:r>
      <w:r>
        <w:rPr>
          <w:highlight w:val="none"/>
        </w:rPr>
        <w:fldChar w:fldCharType="begin"/>
      </w:r>
      <w:r>
        <w:rPr>
          <w:highlight w:val="none"/>
        </w:rPr>
        <w:instrText xml:space="preserve"> PAGEREF _Toc1844 \h </w:instrText>
      </w:r>
      <w:r>
        <w:rPr>
          <w:highlight w:val="none"/>
        </w:rPr>
        <w:fldChar w:fldCharType="separate"/>
      </w:r>
      <w:r>
        <w:rPr>
          <w:highlight w:val="none"/>
        </w:rPr>
        <w:t>44</w:t>
      </w:r>
      <w:r>
        <w:rPr>
          <w:highlight w:val="none"/>
        </w:rPr>
        <w:fldChar w:fldCharType="end"/>
      </w:r>
      <w:r>
        <w:rPr>
          <w:rFonts w:hint="eastAsia" w:ascii="宋体" w:hAnsi="宋体" w:eastAsia="宋体" w:cs="宋体"/>
          <w:color w:val="auto"/>
          <w:szCs w:val="56"/>
          <w:highlight w:val="none"/>
        </w:rPr>
        <w:fldChar w:fldCharType="end"/>
      </w:r>
    </w:p>
    <w:p w14:paraId="19F70C7C">
      <w:pPr>
        <w:pStyle w:val="10"/>
        <w:tabs>
          <w:tab w:val="right" w:leader="dot" w:pos="9026"/>
        </w:tabs>
        <w:rPr>
          <w:highlight w:val="none"/>
        </w:rPr>
      </w:pPr>
      <w:r>
        <w:rPr>
          <w:rFonts w:hint="eastAsia" w:ascii="宋体" w:hAnsi="宋体" w:eastAsia="宋体" w:cs="宋体"/>
          <w:color w:val="auto"/>
          <w:szCs w:val="56"/>
          <w:highlight w:val="none"/>
        </w:rPr>
        <w:fldChar w:fldCharType="begin"/>
      </w:r>
      <w:r>
        <w:rPr>
          <w:rFonts w:hint="eastAsia" w:ascii="宋体" w:hAnsi="宋体" w:eastAsia="宋体" w:cs="宋体"/>
          <w:szCs w:val="56"/>
          <w:highlight w:val="none"/>
        </w:rPr>
        <w:instrText xml:space="preserve"> HYPERLINK \l _Toc19257 </w:instrText>
      </w:r>
      <w:r>
        <w:rPr>
          <w:rFonts w:hint="eastAsia" w:ascii="宋体" w:hAnsi="宋体" w:eastAsia="宋体" w:cs="宋体"/>
          <w:szCs w:val="56"/>
          <w:highlight w:val="none"/>
        </w:rPr>
        <w:fldChar w:fldCharType="separate"/>
      </w:r>
      <w:r>
        <w:rPr>
          <w:rFonts w:hint="eastAsia" w:ascii="宋体" w:hAnsi="宋体" w:eastAsia="宋体" w:cs="宋体"/>
          <w:kern w:val="0"/>
          <w:szCs w:val="44"/>
          <w:highlight w:val="none"/>
        </w:rPr>
        <w:t>第七章</w:t>
      </w:r>
      <w:r>
        <w:rPr>
          <w:rFonts w:hint="eastAsia" w:ascii="宋体" w:hAnsi="宋体" w:eastAsia="宋体" w:cs="宋体"/>
          <w:kern w:val="0"/>
          <w:szCs w:val="44"/>
          <w:highlight w:val="none"/>
          <w:lang w:val="en-US" w:eastAsia="zh-CN"/>
        </w:rPr>
        <w:t xml:space="preserve"> </w:t>
      </w:r>
      <w:r>
        <w:rPr>
          <w:rFonts w:hint="eastAsia" w:ascii="宋体" w:hAnsi="宋体" w:eastAsia="宋体" w:cs="宋体"/>
          <w:kern w:val="0"/>
          <w:szCs w:val="44"/>
          <w:highlight w:val="none"/>
        </w:rPr>
        <w:t xml:space="preserve"> 质疑、投诉材料格式</w:t>
      </w:r>
      <w:r>
        <w:rPr>
          <w:highlight w:val="none"/>
        </w:rPr>
        <w:tab/>
      </w:r>
      <w:r>
        <w:rPr>
          <w:highlight w:val="none"/>
        </w:rPr>
        <w:fldChar w:fldCharType="begin"/>
      </w:r>
      <w:r>
        <w:rPr>
          <w:highlight w:val="none"/>
        </w:rPr>
        <w:instrText xml:space="preserve"> PAGEREF _Toc19257 \h </w:instrText>
      </w:r>
      <w:r>
        <w:rPr>
          <w:highlight w:val="none"/>
        </w:rPr>
        <w:fldChar w:fldCharType="separate"/>
      </w:r>
      <w:r>
        <w:rPr>
          <w:highlight w:val="none"/>
        </w:rPr>
        <w:t>48</w:t>
      </w:r>
      <w:r>
        <w:rPr>
          <w:highlight w:val="none"/>
        </w:rPr>
        <w:fldChar w:fldCharType="end"/>
      </w:r>
      <w:r>
        <w:rPr>
          <w:rFonts w:hint="eastAsia" w:ascii="宋体" w:hAnsi="宋体" w:eastAsia="宋体" w:cs="宋体"/>
          <w:color w:val="auto"/>
          <w:szCs w:val="56"/>
          <w:highlight w:val="none"/>
        </w:rPr>
        <w:fldChar w:fldCharType="end"/>
      </w:r>
    </w:p>
    <w:p w14:paraId="48175325">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color w:val="auto"/>
          <w:szCs w:val="56"/>
          <w:highlight w:val="none"/>
        </w:rPr>
        <w:fldChar w:fldCharType="end"/>
      </w:r>
    </w:p>
    <w:p w14:paraId="68DC2508">
      <w:pPr>
        <w:spacing w:line="360" w:lineRule="auto"/>
        <w:jc w:val="center"/>
        <w:rPr>
          <w:rFonts w:hint="eastAsia" w:ascii="宋体" w:hAnsi="宋体" w:eastAsia="宋体" w:cs="宋体"/>
          <w:b/>
          <w:color w:val="auto"/>
          <w:sz w:val="32"/>
          <w:szCs w:val="32"/>
          <w:highlight w:val="none"/>
        </w:rPr>
      </w:pPr>
    </w:p>
    <w:p w14:paraId="558695AE">
      <w:pPr>
        <w:spacing w:line="360" w:lineRule="auto"/>
        <w:jc w:val="center"/>
        <w:rPr>
          <w:rFonts w:hint="eastAsia" w:ascii="宋体" w:hAnsi="宋体" w:eastAsia="宋体" w:cs="宋体"/>
          <w:b/>
          <w:color w:val="auto"/>
          <w:sz w:val="32"/>
          <w:szCs w:val="32"/>
          <w:highlight w:val="none"/>
        </w:rPr>
      </w:pPr>
    </w:p>
    <w:p w14:paraId="62779970">
      <w:pPr>
        <w:spacing w:line="360" w:lineRule="auto"/>
        <w:jc w:val="center"/>
        <w:rPr>
          <w:rFonts w:hint="eastAsia" w:ascii="宋体" w:hAnsi="宋体" w:eastAsia="宋体" w:cs="宋体"/>
          <w:b/>
          <w:color w:val="auto"/>
          <w:sz w:val="32"/>
          <w:szCs w:val="32"/>
          <w:highlight w:val="none"/>
        </w:rPr>
      </w:pPr>
    </w:p>
    <w:p w14:paraId="2F2288CC">
      <w:pPr>
        <w:spacing w:line="360" w:lineRule="auto"/>
        <w:jc w:val="center"/>
        <w:rPr>
          <w:rFonts w:hint="eastAsia" w:ascii="宋体" w:hAnsi="宋体" w:eastAsia="宋体" w:cs="宋体"/>
          <w:b/>
          <w:color w:val="auto"/>
          <w:sz w:val="32"/>
          <w:szCs w:val="32"/>
          <w:highlight w:val="none"/>
        </w:rPr>
      </w:pPr>
    </w:p>
    <w:p w14:paraId="545F65D1">
      <w:pPr>
        <w:spacing w:line="360" w:lineRule="auto"/>
        <w:jc w:val="center"/>
        <w:rPr>
          <w:rFonts w:hint="eastAsia" w:ascii="宋体" w:hAnsi="宋体" w:eastAsia="宋体" w:cs="宋体"/>
          <w:b/>
          <w:color w:val="auto"/>
          <w:sz w:val="32"/>
          <w:szCs w:val="32"/>
          <w:highlight w:val="none"/>
        </w:rPr>
      </w:pPr>
    </w:p>
    <w:p w14:paraId="0DA1CB53">
      <w:pPr>
        <w:spacing w:line="360" w:lineRule="auto"/>
        <w:jc w:val="both"/>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5E54723F">
      <w:pPr>
        <w:spacing w:line="360" w:lineRule="auto"/>
        <w:jc w:val="center"/>
        <w:rPr>
          <w:rFonts w:hint="eastAsia" w:ascii="宋体" w:hAnsi="宋体" w:eastAsia="宋体" w:cs="宋体"/>
          <w:b/>
          <w:color w:val="auto"/>
          <w:sz w:val="32"/>
          <w:szCs w:val="32"/>
          <w:highlight w:val="none"/>
        </w:rPr>
      </w:pPr>
    </w:p>
    <w:p w14:paraId="7E7E922A">
      <w:pPr>
        <w:spacing w:line="360" w:lineRule="auto"/>
        <w:jc w:val="center"/>
        <w:rPr>
          <w:rFonts w:hint="eastAsia" w:ascii="宋体" w:hAnsi="宋体" w:eastAsia="宋体" w:cs="宋体"/>
          <w:b/>
          <w:color w:val="auto"/>
          <w:sz w:val="32"/>
          <w:szCs w:val="32"/>
          <w:highlight w:val="none"/>
        </w:rPr>
      </w:pPr>
    </w:p>
    <w:p w14:paraId="50898577">
      <w:pPr>
        <w:spacing w:line="360" w:lineRule="auto"/>
        <w:jc w:val="center"/>
        <w:rPr>
          <w:rFonts w:hint="eastAsia" w:ascii="宋体" w:hAnsi="宋体" w:eastAsia="宋体" w:cs="宋体"/>
          <w:b/>
          <w:color w:val="auto"/>
          <w:sz w:val="32"/>
          <w:szCs w:val="32"/>
          <w:highlight w:val="none"/>
        </w:rPr>
      </w:pPr>
    </w:p>
    <w:p w14:paraId="6037867A">
      <w:pPr>
        <w:spacing w:line="360" w:lineRule="auto"/>
        <w:jc w:val="center"/>
        <w:rPr>
          <w:rFonts w:hint="eastAsia" w:ascii="宋体" w:hAnsi="宋体" w:eastAsia="宋体" w:cs="宋体"/>
          <w:b/>
          <w:color w:val="auto"/>
          <w:sz w:val="32"/>
          <w:szCs w:val="32"/>
          <w:highlight w:val="none"/>
        </w:rPr>
      </w:pPr>
    </w:p>
    <w:p w14:paraId="081AC5A2">
      <w:pPr>
        <w:spacing w:line="360" w:lineRule="auto"/>
        <w:jc w:val="center"/>
        <w:rPr>
          <w:rFonts w:hint="eastAsia" w:ascii="宋体" w:hAnsi="宋体" w:eastAsia="宋体" w:cs="宋体"/>
          <w:b/>
          <w:color w:val="auto"/>
          <w:sz w:val="32"/>
          <w:szCs w:val="32"/>
          <w:highlight w:val="none"/>
        </w:rPr>
      </w:pPr>
    </w:p>
    <w:p w14:paraId="5F525C26">
      <w:pPr>
        <w:spacing w:line="360" w:lineRule="auto"/>
        <w:rPr>
          <w:rFonts w:hint="eastAsia" w:ascii="宋体" w:hAnsi="宋体" w:eastAsia="宋体" w:cs="宋体"/>
          <w:b/>
          <w:color w:val="auto"/>
          <w:sz w:val="32"/>
          <w:szCs w:val="32"/>
          <w:highlight w:val="none"/>
        </w:rPr>
      </w:pPr>
    </w:p>
    <w:p w14:paraId="0C77CBB5">
      <w:pPr>
        <w:pStyle w:val="12"/>
        <w:spacing w:line="360" w:lineRule="auto"/>
        <w:rPr>
          <w:rFonts w:hint="eastAsia" w:ascii="宋体" w:hAnsi="宋体" w:eastAsia="宋体" w:cs="宋体"/>
          <w:color w:val="auto"/>
          <w:sz w:val="44"/>
          <w:szCs w:val="44"/>
          <w:highlight w:val="none"/>
        </w:rPr>
      </w:pPr>
      <w:bookmarkStart w:id="0" w:name="_Toc476258662"/>
      <w:bookmarkStart w:id="1" w:name="_Toc14625"/>
      <w:r>
        <w:rPr>
          <w:rFonts w:hint="eastAsia" w:ascii="宋体" w:hAnsi="宋体" w:eastAsia="宋体" w:cs="宋体"/>
          <w:color w:val="auto"/>
          <w:sz w:val="44"/>
          <w:szCs w:val="44"/>
          <w:highlight w:val="none"/>
        </w:rPr>
        <w:t>第一章  竞争性磋商公告</w:t>
      </w:r>
      <w:bookmarkEnd w:id="0"/>
      <w:bookmarkEnd w:id="1"/>
    </w:p>
    <w:p w14:paraId="2AC6A8DE">
      <w:pPr>
        <w:keepNext w:val="0"/>
        <w:keepLines w:val="0"/>
        <w:pageBreakBefore w:val="0"/>
        <w:kinsoku/>
        <w:wordWrap/>
        <w:overflowPunct/>
        <w:topLinePunct w:val="0"/>
        <w:autoSpaceDE/>
        <w:autoSpaceDN/>
        <w:bidi w:val="0"/>
        <w:adjustRightInd/>
        <w:spacing w:line="5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sz w:val="44"/>
          <w:szCs w:val="44"/>
          <w:highlight w:val="none"/>
        </w:rPr>
        <w:br w:type="page"/>
      </w:r>
      <w:bookmarkStart w:id="2" w:name="_Toc28359011"/>
      <w:bookmarkStart w:id="3" w:name="_Toc35393797"/>
      <w:r>
        <w:rPr>
          <w:rFonts w:hint="eastAsia" w:ascii="宋体" w:hAnsi="宋体" w:eastAsia="宋体" w:cs="宋体"/>
          <w:b/>
          <w:bCs/>
          <w:color w:val="auto"/>
          <w:sz w:val="32"/>
          <w:szCs w:val="32"/>
          <w:highlight w:val="none"/>
        </w:rPr>
        <w:t>广西国建项目管理有限公司关于</w:t>
      </w:r>
      <w:r>
        <w:rPr>
          <w:rFonts w:hint="eastAsia" w:ascii="宋体" w:hAnsi="宋体" w:eastAsia="宋体" w:cs="宋体"/>
          <w:b/>
          <w:bCs/>
          <w:color w:val="auto"/>
          <w:sz w:val="32"/>
          <w:szCs w:val="32"/>
          <w:highlight w:val="none"/>
          <w:lang w:eastAsia="zh-CN"/>
        </w:rPr>
        <w:t>南宁市朱槿商业保理有限公司主体信用评级项目</w:t>
      </w:r>
      <w:r>
        <w:rPr>
          <w:rFonts w:hint="eastAsia" w:ascii="宋体" w:hAnsi="宋体" w:eastAsia="宋体" w:cs="宋体"/>
          <w:b/>
          <w:bCs/>
          <w:color w:val="auto"/>
          <w:sz w:val="32"/>
          <w:szCs w:val="32"/>
          <w:highlight w:val="none"/>
        </w:rPr>
        <w:t>（</w:t>
      </w:r>
      <w:r>
        <w:rPr>
          <w:rFonts w:hint="eastAsia" w:ascii="宋体" w:hAnsi="宋体" w:eastAsia="宋体" w:cs="宋体"/>
          <w:b/>
          <w:bCs/>
          <w:color w:val="auto"/>
          <w:sz w:val="32"/>
          <w:szCs w:val="32"/>
          <w:highlight w:val="none"/>
          <w:lang w:eastAsia="zh-CN"/>
        </w:rPr>
        <w:t>GXGJ2026-C0133-S</w:t>
      </w:r>
      <w:r>
        <w:rPr>
          <w:rFonts w:hint="eastAsia" w:ascii="宋体" w:hAnsi="宋体" w:eastAsia="宋体" w:cs="宋体"/>
          <w:b/>
          <w:bCs/>
          <w:color w:val="auto"/>
          <w:sz w:val="32"/>
          <w:szCs w:val="32"/>
          <w:highlight w:val="none"/>
        </w:rPr>
        <w:t>）竞争性磋商公告</w:t>
      </w:r>
      <w:bookmarkEnd w:id="2"/>
      <w:bookmarkEnd w:id="3"/>
    </w:p>
    <w:p w14:paraId="25E7E74C">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项目概况</w:t>
      </w:r>
    </w:p>
    <w:p w14:paraId="53EE52C6">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eastAsia="zh-CN" w:bidi="ar"/>
        </w:rPr>
        <w:t>南宁市朱槿商业保理有限公司主体信用评级项目</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lang w:bidi="ar"/>
        </w:rPr>
        <w:t>的潜在供应商应在</w:t>
      </w:r>
      <w:r>
        <w:rPr>
          <w:rFonts w:hint="eastAsia" w:ascii="宋体" w:hAnsi="宋体" w:eastAsia="宋体" w:cs="宋体"/>
          <w:color w:val="auto"/>
          <w:szCs w:val="21"/>
          <w:highlight w:val="none"/>
          <w:u w:val="single"/>
          <w:lang w:bidi="ar"/>
        </w:rPr>
        <w:t>广西国建项目管理有限公司（广西南宁市白沙大道53号松宇时代17楼）</w:t>
      </w:r>
      <w:r>
        <w:rPr>
          <w:rFonts w:hint="eastAsia" w:ascii="宋体" w:hAnsi="宋体" w:eastAsia="宋体" w:cs="宋体"/>
          <w:color w:val="auto"/>
          <w:szCs w:val="21"/>
          <w:highlight w:val="none"/>
          <w:lang w:bidi="ar"/>
        </w:rPr>
        <w:t>获取采购文件，并于</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2026</w:t>
      </w:r>
      <w:r>
        <w:rPr>
          <w:rFonts w:hint="eastAsia" w:ascii="宋体" w:hAnsi="宋体" w:eastAsia="宋体" w:cs="宋体"/>
          <w:bCs/>
          <w:color w:val="auto"/>
          <w:szCs w:val="21"/>
          <w:highlight w:val="none"/>
          <w:u w:val="single"/>
          <w:lang w:bidi="ar"/>
        </w:rPr>
        <w:t>年</w:t>
      </w:r>
      <w:r>
        <w:rPr>
          <w:rFonts w:hint="eastAsia" w:ascii="宋体" w:hAnsi="宋体" w:cs="宋体"/>
          <w:bCs/>
          <w:color w:val="auto"/>
          <w:szCs w:val="21"/>
          <w:highlight w:val="none"/>
          <w:u w:val="single"/>
          <w:lang w:val="en-US" w:eastAsia="zh-CN" w:bidi="ar"/>
        </w:rPr>
        <w:t>7</w:t>
      </w:r>
      <w:r>
        <w:rPr>
          <w:rFonts w:hint="eastAsia" w:ascii="宋体" w:hAnsi="宋体" w:eastAsia="宋体" w:cs="宋体"/>
          <w:bCs/>
          <w:color w:val="auto"/>
          <w:szCs w:val="21"/>
          <w:highlight w:val="none"/>
          <w:u w:val="single"/>
          <w:lang w:bidi="ar"/>
        </w:rPr>
        <w:t>月</w:t>
      </w:r>
      <w:r>
        <w:rPr>
          <w:rFonts w:hint="eastAsia" w:ascii="宋体" w:hAnsi="宋体" w:cs="宋体"/>
          <w:bCs/>
          <w:color w:val="auto"/>
          <w:szCs w:val="21"/>
          <w:highlight w:val="none"/>
          <w:u w:val="single"/>
          <w:lang w:val="en-US" w:eastAsia="zh-CN" w:bidi="ar"/>
        </w:rPr>
        <w:t>17</w:t>
      </w:r>
      <w:r>
        <w:rPr>
          <w:rFonts w:hint="eastAsia" w:ascii="宋体" w:hAnsi="宋体" w:eastAsia="宋体" w:cs="宋体"/>
          <w:bCs/>
          <w:color w:val="auto"/>
          <w:szCs w:val="21"/>
          <w:highlight w:val="none"/>
          <w:u w:val="single"/>
          <w:lang w:bidi="ar"/>
        </w:rPr>
        <w:t>日</w:t>
      </w:r>
      <w:r>
        <w:rPr>
          <w:rFonts w:hint="eastAsia" w:ascii="宋体" w:hAnsi="宋体" w:cs="宋体"/>
          <w:bCs/>
          <w:color w:val="auto"/>
          <w:szCs w:val="21"/>
          <w:highlight w:val="none"/>
          <w:u w:val="single"/>
          <w:lang w:val="en-US" w:eastAsia="zh-CN" w:bidi="ar"/>
        </w:rPr>
        <w:t>9</w:t>
      </w:r>
      <w:r>
        <w:rPr>
          <w:rFonts w:hint="eastAsia" w:ascii="宋体" w:hAnsi="宋体" w:eastAsia="宋体" w:cs="宋体"/>
          <w:bCs/>
          <w:color w:val="auto"/>
          <w:szCs w:val="21"/>
          <w:highlight w:val="none"/>
          <w:u w:val="single"/>
          <w:lang w:val="en-US" w:eastAsia="zh-CN" w:bidi="ar"/>
        </w:rPr>
        <w:t>时30</w:t>
      </w:r>
      <w:r>
        <w:rPr>
          <w:rFonts w:hint="eastAsia" w:ascii="宋体" w:hAnsi="宋体" w:eastAsia="宋体" w:cs="宋体"/>
          <w:bCs/>
          <w:color w:val="auto"/>
          <w:szCs w:val="21"/>
          <w:highlight w:val="none"/>
          <w:u w:val="single"/>
          <w:lang w:bidi="ar"/>
        </w:rPr>
        <w:t>分</w:t>
      </w:r>
      <w:r>
        <w:rPr>
          <w:rFonts w:hint="eastAsia" w:ascii="宋体" w:hAnsi="宋体" w:eastAsia="宋体" w:cs="宋体"/>
          <w:bCs/>
          <w:color w:val="auto"/>
          <w:szCs w:val="21"/>
          <w:highlight w:val="none"/>
          <w:u w:val="single"/>
          <w:lang w:val="en-US" w:eastAsia="zh-CN" w:bidi="ar"/>
        </w:rPr>
        <w:t xml:space="preserve"> </w:t>
      </w:r>
      <w:r>
        <w:rPr>
          <w:rFonts w:hint="eastAsia" w:ascii="宋体" w:hAnsi="宋体" w:eastAsia="宋体" w:cs="宋体"/>
          <w:bCs/>
          <w:color w:val="auto"/>
          <w:szCs w:val="21"/>
          <w:highlight w:val="none"/>
          <w:lang w:bidi="ar"/>
        </w:rPr>
        <w:t>（北京时间）前提交响应文件</w:t>
      </w:r>
      <w:r>
        <w:rPr>
          <w:rFonts w:hint="eastAsia" w:ascii="宋体" w:hAnsi="宋体" w:eastAsia="宋体" w:cs="宋体"/>
          <w:color w:val="auto"/>
          <w:szCs w:val="21"/>
          <w:highlight w:val="none"/>
          <w:lang w:bidi="ar"/>
        </w:rPr>
        <w:t>。</w:t>
      </w:r>
    </w:p>
    <w:p w14:paraId="226945CF">
      <w:pPr>
        <w:keepNext w:val="0"/>
        <w:keepLines w:val="0"/>
        <w:pageBreakBefore w:val="0"/>
        <w:kinsoku/>
        <w:wordWrap/>
        <w:overflowPunct/>
        <w:topLinePunct w:val="0"/>
        <w:autoSpaceDE/>
        <w:autoSpaceDN/>
        <w:bidi w:val="0"/>
        <w:adjustRightInd/>
        <w:spacing w:line="500" w:lineRule="exact"/>
        <w:textAlignment w:val="auto"/>
        <w:rPr>
          <w:rFonts w:hint="eastAsia" w:ascii="宋体" w:hAnsi="宋体" w:eastAsia="宋体" w:cs="宋体"/>
          <w:b/>
          <w:color w:val="auto"/>
          <w:highlight w:val="none"/>
        </w:rPr>
      </w:pPr>
      <w:bookmarkStart w:id="4" w:name="_Toc35393798"/>
      <w:bookmarkStart w:id="5" w:name="_Toc35393629"/>
      <w:bookmarkStart w:id="6" w:name="_Toc28359012"/>
      <w:bookmarkStart w:id="7" w:name="_Toc28359089"/>
      <w:r>
        <w:rPr>
          <w:rFonts w:hint="eastAsia" w:ascii="宋体" w:hAnsi="宋体" w:eastAsia="宋体" w:cs="宋体"/>
          <w:b/>
          <w:color w:val="auto"/>
          <w:szCs w:val="21"/>
          <w:highlight w:val="none"/>
          <w:lang w:bidi="ar"/>
        </w:rPr>
        <w:t>一、项目基本情况</w:t>
      </w:r>
      <w:bookmarkEnd w:id="4"/>
      <w:bookmarkEnd w:id="5"/>
      <w:bookmarkEnd w:id="6"/>
      <w:bookmarkEnd w:id="7"/>
    </w:p>
    <w:p w14:paraId="28AA8EB6">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szCs w:val="21"/>
          <w:highlight w:val="none"/>
          <w:lang w:bidi="ar"/>
        </w:rPr>
        <w:t>项目编号：</w:t>
      </w:r>
      <w:r>
        <w:rPr>
          <w:rFonts w:hint="eastAsia" w:ascii="宋体" w:hAnsi="宋体" w:eastAsia="宋体" w:cs="宋体"/>
          <w:color w:val="auto"/>
          <w:szCs w:val="21"/>
          <w:highlight w:val="none"/>
          <w:lang w:eastAsia="zh-CN" w:bidi="ar"/>
        </w:rPr>
        <w:t>GXGJ2026-C0133-S</w:t>
      </w:r>
    </w:p>
    <w:p w14:paraId="4DB328D6">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szCs w:val="21"/>
          <w:highlight w:val="none"/>
          <w:lang w:bidi="ar"/>
        </w:rPr>
        <w:t>项目名称：</w:t>
      </w:r>
      <w:r>
        <w:rPr>
          <w:rFonts w:hint="eastAsia" w:ascii="宋体" w:hAnsi="宋体" w:eastAsia="宋体" w:cs="宋体"/>
          <w:color w:val="auto"/>
          <w:szCs w:val="21"/>
          <w:highlight w:val="none"/>
          <w:lang w:eastAsia="zh-CN" w:bidi="ar"/>
        </w:rPr>
        <w:t>南宁市朱槿商业保理有限公司主体信用评级项目</w:t>
      </w:r>
    </w:p>
    <w:p w14:paraId="57C8A5E4">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 xml:space="preserve">采购方式：□竞争性谈判 </w:t>
      </w:r>
      <w:r>
        <w:rPr>
          <w:rFonts w:hint="eastAsia" w:ascii="宋体" w:hAnsi="宋体" w:eastAsia="宋体" w:cs="宋体"/>
          <w:color w:val="auto"/>
          <w:szCs w:val="21"/>
          <w:highlight w:val="none"/>
          <w:lang w:bidi="ar"/>
        </w:rPr>
        <w:sym w:font="Wingdings 2" w:char="0052"/>
      </w:r>
      <w:r>
        <w:rPr>
          <w:rFonts w:hint="eastAsia" w:ascii="宋体" w:hAnsi="宋体" w:eastAsia="宋体" w:cs="宋体"/>
          <w:color w:val="auto"/>
          <w:szCs w:val="21"/>
          <w:highlight w:val="none"/>
          <w:lang w:bidi="ar"/>
        </w:rPr>
        <w:t xml:space="preserve">竞争性磋商 </w:t>
      </w: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bidi="ar"/>
        </w:rPr>
        <w:t>询价</w:t>
      </w:r>
    </w:p>
    <w:p w14:paraId="4129CD2A">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预算金额：</w:t>
      </w:r>
      <w:r>
        <w:rPr>
          <w:rFonts w:hint="default" w:ascii="宋体" w:hAnsi="宋体" w:eastAsia="宋体" w:cs="宋体"/>
          <w:color w:val="auto"/>
          <w:szCs w:val="21"/>
          <w:highlight w:val="none"/>
          <w:lang w:val="en-US" w:eastAsia="zh-CN" w:bidi="ar"/>
        </w:rPr>
        <w:t>20</w:t>
      </w:r>
      <w:r>
        <w:rPr>
          <w:rFonts w:hint="eastAsia" w:ascii="宋体" w:hAnsi="宋体" w:eastAsia="宋体" w:cs="宋体"/>
          <w:color w:val="auto"/>
          <w:szCs w:val="21"/>
          <w:highlight w:val="none"/>
          <w:lang w:val="en-US" w:eastAsia="zh-CN" w:bidi="ar"/>
        </w:rPr>
        <w:t>万元</w:t>
      </w:r>
    </w:p>
    <w:p w14:paraId="5AE3599C">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采购需求： </w:t>
      </w:r>
      <w:r>
        <w:rPr>
          <w:rFonts w:hint="eastAsia" w:ascii="宋体" w:hAnsi="宋体" w:eastAsia="宋体" w:cs="宋体"/>
          <w:color w:val="auto"/>
          <w:szCs w:val="21"/>
          <w:highlight w:val="none"/>
          <w:lang w:eastAsia="zh-CN" w:bidi="ar"/>
        </w:rPr>
        <w:t>南宁市朱槿商业保理有限公司主体信用评级</w:t>
      </w:r>
      <w:r>
        <w:rPr>
          <w:rFonts w:hint="eastAsia" w:ascii="宋体" w:hAnsi="宋体" w:eastAsia="宋体" w:cs="宋体"/>
          <w:color w:val="auto"/>
          <w:szCs w:val="21"/>
          <w:highlight w:val="none"/>
          <w:lang w:val="en-US" w:eastAsia="zh-CN" w:bidi="ar"/>
        </w:rPr>
        <w:t>1项</w:t>
      </w:r>
      <w:r>
        <w:rPr>
          <w:rFonts w:hint="eastAsia" w:ascii="宋体" w:hAnsi="宋体" w:eastAsia="宋体" w:cs="宋体"/>
          <w:color w:val="auto"/>
          <w:highlight w:val="none"/>
        </w:rPr>
        <w:t>。如需进一步了解详细内容，详见采购文件。</w:t>
      </w:r>
    </w:p>
    <w:p w14:paraId="54A5AACF">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本项目</w:t>
      </w:r>
      <w:r>
        <w:rPr>
          <w:rFonts w:hint="eastAsia" w:ascii="宋体" w:hAnsi="宋体" w:eastAsia="宋体" w:cs="宋体"/>
          <w:i w:val="0"/>
          <w:iCs/>
          <w:color w:val="auto"/>
          <w:szCs w:val="21"/>
          <w:highlight w:val="none"/>
          <w:lang w:val="en-US" w:eastAsia="zh-CN" w:bidi="ar"/>
        </w:rPr>
        <w:t>不</w:t>
      </w:r>
      <w:r>
        <w:rPr>
          <w:rFonts w:hint="eastAsia" w:ascii="宋体" w:hAnsi="宋体" w:eastAsia="宋体" w:cs="宋体"/>
          <w:color w:val="auto"/>
          <w:szCs w:val="21"/>
          <w:highlight w:val="none"/>
          <w:lang w:bidi="ar"/>
        </w:rPr>
        <w:t>接受联合体。</w:t>
      </w:r>
    </w:p>
    <w:p w14:paraId="615D6F27">
      <w:pPr>
        <w:keepNext w:val="0"/>
        <w:keepLines w:val="0"/>
        <w:pageBreakBefore w:val="0"/>
        <w:kinsoku/>
        <w:wordWrap/>
        <w:overflowPunct/>
        <w:topLinePunct w:val="0"/>
        <w:autoSpaceDE/>
        <w:autoSpaceDN/>
        <w:bidi w:val="0"/>
        <w:adjustRightInd/>
        <w:spacing w:line="500" w:lineRule="exact"/>
        <w:textAlignment w:val="auto"/>
        <w:rPr>
          <w:rFonts w:hint="eastAsia" w:ascii="宋体" w:hAnsi="宋体" w:eastAsia="宋体" w:cs="宋体"/>
          <w:b/>
          <w:color w:val="auto"/>
          <w:highlight w:val="none"/>
        </w:rPr>
      </w:pPr>
      <w:bookmarkStart w:id="8" w:name="_Toc28359090"/>
      <w:bookmarkStart w:id="9" w:name="_Toc28359013"/>
      <w:bookmarkStart w:id="10" w:name="_Toc35393799"/>
      <w:bookmarkStart w:id="11" w:name="_Toc35393630"/>
      <w:r>
        <w:rPr>
          <w:rFonts w:hint="eastAsia" w:ascii="宋体" w:hAnsi="宋体" w:eastAsia="宋体" w:cs="宋体"/>
          <w:b/>
          <w:color w:val="auto"/>
          <w:szCs w:val="21"/>
          <w:highlight w:val="none"/>
          <w:lang w:bidi="ar"/>
        </w:rPr>
        <w:t>二、申请人的资格要求：</w:t>
      </w:r>
      <w:bookmarkEnd w:id="8"/>
      <w:bookmarkEnd w:id="9"/>
      <w:bookmarkEnd w:id="10"/>
      <w:bookmarkEnd w:id="11"/>
    </w:p>
    <w:p w14:paraId="4AB57DFD">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bookmarkStart w:id="12" w:name="_Toc35393800"/>
      <w:bookmarkStart w:id="13" w:name="_Toc28359091"/>
      <w:bookmarkStart w:id="14" w:name="_Toc35393631"/>
      <w:bookmarkStart w:id="15" w:name="_Toc28359014"/>
      <w:r>
        <w:rPr>
          <w:rFonts w:hint="eastAsia" w:ascii="宋体" w:hAnsi="宋体" w:eastAsia="宋体" w:cs="宋体"/>
          <w:color w:val="auto"/>
          <w:szCs w:val="21"/>
          <w:highlight w:val="none"/>
          <w:lang w:bidi="ar"/>
        </w:rPr>
        <w:t>1.依法登记注册，具有独立承担民事责任的能力，持有有效的营业执照；</w:t>
      </w:r>
    </w:p>
    <w:p w14:paraId="339757C6">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2.具有健全财务会计制度、履行合同必需的专业技术人员、评级系统、办公场所。</w:t>
      </w:r>
    </w:p>
    <w:p w14:paraId="224B5DAD">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val="en-US" w:eastAsia="zh-CN" w:bidi="ar"/>
        </w:rPr>
        <w:t>3.</w:t>
      </w:r>
      <w:r>
        <w:rPr>
          <w:rFonts w:hint="eastAsia" w:ascii="宋体" w:hAnsi="宋体" w:eastAsia="宋体" w:cs="宋体"/>
          <w:color w:val="auto"/>
          <w:highlight w:val="none"/>
        </w:rPr>
        <w:t>本项目的特定资格要求：</w:t>
      </w:r>
      <w:r>
        <w:rPr>
          <w:rFonts w:hint="eastAsia" w:ascii="宋体" w:hAnsi="宋体" w:eastAsia="宋体" w:cs="宋体"/>
          <w:color w:val="auto"/>
          <w:highlight w:val="none"/>
          <w:u w:val="single"/>
          <w:lang w:val="en-US" w:eastAsia="zh-CN"/>
        </w:rPr>
        <w:t>同时具备</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lang w:val="en-US" w:eastAsia="zh-CN"/>
        </w:rPr>
        <w:t>1</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取得中国证监会《证券市场资信评级业务许可证》</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在中国银行间市场交易商协会备案，具备银行间债券市场信用评级资质</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完成中国人民银行信用评级机构备案，纳入央行公示评级机构名录</w:t>
      </w:r>
      <w:r>
        <w:rPr>
          <w:rFonts w:hint="eastAsia" w:ascii="宋体" w:hAnsi="宋体" w:eastAsia="宋体" w:cs="宋体"/>
          <w:color w:val="auto"/>
          <w:highlight w:val="none"/>
          <w:u w:val="single"/>
          <w:lang w:eastAsia="zh-CN"/>
        </w:rPr>
        <w:t>。</w:t>
      </w:r>
    </w:p>
    <w:p w14:paraId="2DFF9FD8">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4.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1F1669B3">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bidi="ar"/>
        </w:rPr>
        <w:t>5.</w:t>
      </w:r>
      <w:r>
        <w:rPr>
          <w:rFonts w:hint="eastAsia" w:ascii="宋体" w:hAnsi="宋体" w:eastAsia="宋体" w:cs="宋体"/>
          <w:color w:val="auto"/>
          <w:szCs w:val="21"/>
          <w:highlight w:val="none"/>
          <w:lang w:val="en-US" w:eastAsia="zh-CN" w:bidi="ar"/>
        </w:rPr>
        <w:t>诚信要求：</w:t>
      </w:r>
    </w:p>
    <w:p w14:paraId="231B0C32">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val="en-US" w:eastAsia="zh-CN" w:bidi="ar"/>
        </w:rPr>
        <w:t>5.</w:t>
      </w:r>
      <w:r>
        <w:rPr>
          <w:rFonts w:hint="eastAsia" w:ascii="宋体" w:hAnsi="宋体" w:eastAsia="宋体" w:cs="宋体"/>
          <w:color w:val="auto"/>
          <w:szCs w:val="21"/>
          <w:highlight w:val="none"/>
          <w:lang w:bidi="ar"/>
        </w:rPr>
        <w:t>1近3年无重大违法违规记录；</w:t>
      </w:r>
      <w:bookmarkStart w:id="97" w:name="_GoBack"/>
      <w:bookmarkEnd w:id="97"/>
    </w:p>
    <w:p w14:paraId="244E5A26">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val="en-US" w:eastAsia="zh-CN" w:bidi="ar"/>
        </w:rPr>
        <w:t>5.2</w:t>
      </w:r>
      <w:r>
        <w:rPr>
          <w:rFonts w:hint="eastAsia" w:ascii="宋体" w:hAnsi="宋体" w:eastAsia="宋体" w:cs="宋体"/>
          <w:color w:val="auto"/>
          <w:szCs w:val="21"/>
          <w:highlight w:val="none"/>
          <w:lang w:bidi="ar"/>
        </w:rPr>
        <w:t>近3年</w:t>
      </w:r>
      <w:r>
        <w:rPr>
          <w:rFonts w:hint="eastAsia" w:ascii="宋体" w:hAnsi="宋体" w:eastAsia="宋体" w:cs="宋体"/>
          <w:color w:val="auto"/>
          <w:szCs w:val="21"/>
          <w:highlight w:val="none"/>
          <w:lang w:val="en-US" w:eastAsia="zh-CN" w:bidi="ar"/>
        </w:rPr>
        <w:t>以来未受到刑事处罚或</w:t>
      </w:r>
      <w:r>
        <w:rPr>
          <w:rFonts w:hint="eastAsia" w:ascii="宋体" w:hAnsi="宋体" w:eastAsia="宋体" w:cs="宋体"/>
          <w:color w:val="auto"/>
          <w:szCs w:val="21"/>
          <w:highlight w:val="none"/>
          <w:lang w:bidi="ar"/>
        </w:rPr>
        <w:t>无处于责令停业、投标资格取消、财产冻结、破产清算状态；</w:t>
      </w:r>
    </w:p>
    <w:p w14:paraId="47D24334">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val="en-US" w:eastAsia="zh-CN" w:bidi="ar"/>
        </w:rPr>
        <w:t>5.3</w:t>
      </w:r>
      <w:r>
        <w:rPr>
          <w:rFonts w:hint="eastAsia" w:ascii="宋体" w:hAnsi="宋体" w:eastAsia="宋体" w:cs="宋体"/>
          <w:color w:val="auto"/>
          <w:szCs w:val="21"/>
          <w:highlight w:val="none"/>
          <w:lang w:bidi="ar"/>
        </w:rPr>
        <w:t>参加采购活动前三年内，在经营活动中没有重大违法记录和不良信用记录；对在“信用中国”网站(www.creditchina.gov.cn)、中国政府采购网(www.ccgp.gov.cn)等渠道列入失信被执行人、重大税收违法失信主体、政府采购严重违法失信行为记录名单的供应商，不得参与采购活动</w:t>
      </w:r>
      <w:r>
        <w:rPr>
          <w:rFonts w:hint="eastAsia" w:ascii="宋体" w:hAnsi="宋体" w:eastAsia="宋体" w:cs="宋体"/>
          <w:color w:val="auto"/>
          <w:szCs w:val="21"/>
          <w:highlight w:val="none"/>
          <w:lang w:eastAsia="zh-CN" w:bidi="ar"/>
        </w:rPr>
        <w:t>；</w:t>
      </w:r>
    </w:p>
    <w:p w14:paraId="4CAF93D2">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val="en-US" w:eastAsia="zh-CN" w:bidi="ar"/>
        </w:rPr>
        <w:t>6</w:t>
      </w:r>
      <w:r>
        <w:rPr>
          <w:rFonts w:hint="eastAsia" w:ascii="宋体" w:hAnsi="宋体" w:eastAsia="宋体" w:cs="宋体"/>
          <w:color w:val="auto"/>
          <w:szCs w:val="21"/>
          <w:highlight w:val="none"/>
          <w:lang w:bidi="ar"/>
        </w:rPr>
        <w:t>.本项目不接受未购买本采购文件的供应商参加磋商</w:t>
      </w:r>
      <w:r>
        <w:rPr>
          <w:rFonts w:hint="eastAsia" w:ascii="宋体" w:hAnsi="宋体" w:eastAsia="宋体" w:cs="宋体"/>
          <w:color w:val="auto"/>
          <w:szCs w:val="21"/>
          <w:highlight w:val="none"/>
          <w:lang w:eastAsia="zh-CN" w:bidi="ar"/>
        </w:rPr>
        <w:t>。</w:t>
      </w:r>
    </w:p>
    <w:p w14:paraId="39B92296">
      <w:pPr>
        <w:keepNext w:val="0"/>
        <w:keepLines w:val="0"/>
        <w:pageBreakBefore w:val="0"/>
        <w:kinsoku/>
        <w:wordWrap/>
        <w:overflowPunct/>
        <w:topLinePunct w:val="0"/>
        <w:autoSpaceDE/>
        <w:autoSpaceDN/>
        <w:bidi w:val="0"/>
        <w:adjustRightInd/>
        <w:spacing w:line="500" w:lineRule="exact"/>
        <w:textAlignment w:val="auto"/>
        <w:rPr>
          <w:rFonts w:hint="eastAsia" w:ascii="宋体" w:hAnsi="宋体" w:eastAsia="宋体" w:cs="宋体"/>
          <w:b/>
          <w:color w:val="auto"/>
          <w:highlight w:val="none"/>
        </w:rPr>
      </w:pPr>
      <w:r>
        <w:rPr>
          <w:rFonts w:hint="eastAsia" w:ascii="宋体" w:hAnsi="宋体" w:eastAsia="宋体" w:cs="宋体"/>
          <w:b/>
          <w:color w:val="auto"/>
          <w:szCs w:val="21"/>
          <w:highlight w:val="none"/>
          <w:lang w:bidi="ar"/>
        </w:rPr>
        <w:t>三、获取采购文件</w:t>
      </w:r>
      <w:bookmarkEnd w:id="12"/>
      <w:bookmarkEnd w:id="13"/>
      <w:bookmarkEnd w:id="14"/>
      <w:bookmarkEnd w:id="15"/>
    </w:p>
    <w:p w14:paraId="69EFE2C9">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1.时间：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2026</w:t>
      </w:r>
      <w:r>
        <w:rPr>
          <w:rFonts w:hint="eastAsia" w:ascii="宋体" w:hAnsi="宋体" w:eastAsia="宋体" w:cs="宋体"/>
          <w:color w:val="auto"/>
          <w:highlight w:val="none"/>
          <w:u w:val="single"/>
        </w:rPr>
        <w:t>年</w:t>
      </w:r>
      <w:r>
        <w:rPr>
          <w:rFonts w:hint="eastAsia" w:ascii="宋体" w:hAnsi="宋体" w:cs="宋体"/>
          <w:color w:val="auto"/>
          <w:highlight w:val="none"/>
          <w:u w:val="single"/>
          <w:lang w:val="en-US" w:eastAsia="zh-CN"/>
        </w:rPr>
        <w:t>7</w:t>
      </w:r>
      <w:r>
        <w:rPr>
          <w:rFonts w:hint="eastAsia" w:ascii="宋体" w:hAnsi="宋体" w:eastAsia="宋体" w:cs="宋体"/>
          <w:color w:val="auto"/>
          <w:highlight w:val="none"/>
          <w:u w:val="single"/>
        </w:rPr>
        <w:t>月</w:t>
      </w:r>
      <w:r>
        <w:rPr>
          <w:rFonts w:hint="eastAsia" w:ascii="宋体" w:hAnsi="宋体" w:cs="宋体"/>
          <w:color w:val="auto"/>
          <w:highlight w:val="none"/>
          <w:u w:val="single"/>
          <w:lang w:val="en-US" w:eastAsia="zh-CN"/>
        </w:rPr>
        <w:t>6</w:t>
      </w:r>
      <w:r>
        <w:rPr>
          <w:rFonts w:hint="eastAsia" w:ascii="宋体" w:hAnsi="宋体" w:eastAsia="宋体" w:cs="宋体"/>
          <w:color w:val="auto"/>
          <w:highlight w:val="none"/>
          <w:u w:val="single"/>
        </w:rPr>
        <w:t>日</w:t>
      </w:r>
      <w:r>
        <w:rPr>
          <w:rFonts w:hint="eastAsia" w:ascii="宋体" w:hAnsi="宋体" w:eastAsia="宋体" w:cs="宋体"/>
          <w:color w:val="auto"/>
          <w:highlight w:val="none"/>
        </w:rPr>
        <w:t>至</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2026</w:t>
      </w:r>
      <w:r>
        <w:rPr>
          <w:rFonts w:hint="eastAsia" w:ascii="宋体" w:hAnsi="宋体" w:eastAsia="宋体" w:cs="宋体"/>
          <w:color w:val="auto"/>
          <w:highlight w:val="none"/>
          <w:u w:val="single"/>
        </w:rPr>
        <w:t>年</w:t>
      </w:r>
      <w:r>
        <w:rPr>
          <w:rFonts w:hint="eastAsia" w:ascii="宋体" w:hAnsi="宋体" w:cs="宋体"/>
          <w:color w:val="auto"/>
          <w:highlight w:val="none"/>
          <w:u w:val="single"/>
          <w:lang w:val="en-US" w:eastAsia="zh-CN"/>
        </w:rPr>
        <w:t>7</w:t>
      </w:r>
      <w:r>
        <w:rPr>
          <w:rFonts w:hint="eastAsia" w:ascii="宋体" w:hAnsi="宋体" w:eastAsia="宋体" w:cs="宋体"/>
          <w:color w:val="auto"/>
          <w:highlight w:val="none"/>
          <w:u w:val="single"/>
        </w:rPr>
        <w:t>月</w:t>
      </w:r>
      <w:r>
        <w:rPr>
          <w:rFonts w:hint="eastAsia" w:ascii="宋体" w:hAnsi="宋体" w:cs="宋体"/>
          <w:color w:val="auto"/>
          <w:highlight w:val="none"/>
          <w:u w:val="single"/>
          <w:lang w:val="en-US" w:eastAsia="zh-CN"/>
        </w:rPr>
        <w:t>17</w:t>
      </w:r>
      <w:r>
        <w:rPr>
          <w:rFonts w:hint="eastAsia" w:ascii="宋体" w:hAnsi="宋体" w:eastAsia="宋体" w:cs="宋体"/>
          <w:color w:val="auto"/>
          <w:highlight w:val="none"/>
          <w:u w:val="single"/>
        </w:rPr>
        <w:t>日</w:t>
      </w:r>
      <w:r>
        <w:rPr>
          <w:rFonts w:hint="eastAsia" w:ascii="宋体" w:hAnsi="宋体" w:eastAsia="宋体" w:cs="宋体"/>
          <w:bCs/>
          <w:color w:val="auto"/>
          <w:szCs w:val="21"/>
          <w:highlight w:val="none"/>
          <w:u w:val="single"/>
          <w:lang w:val="en-US" w:eastAsia="zh-CN" w:bidi="ar"/>
        </w:rPr>
        <w:t xml:space="preserve"> </w:t>
      </w:r>
      <w:r>
        <w:rPr>
          <w:rFonts w:hint="eastAsia" w:ascii="宋体" w:hAnsi="宋体" w:eastAsia="宋体" w:cs="宋体"/>
          <w:color w:val="auto"/>
          <w:highlight w:val="none"/>
        </w:rPr>
        <w:t>，每天上午</w:t>
      </w:r>
      <w:r>
        <w:rPr>
          <w:rFonts w:hint="eastAsia" w:ascii="宋体" w:hAnsi="宋体" w:eastAsia="宋体" w:cs="宋体"/>
          <w:color w:val="auto"/>
          <w:highlight w:val="none"/>
          <w:u w:val="single"/>
        </w:rPr>
        <w:t>8：30</w:t>
      </w:r>
      <w:r>
        <w:rPr>
          <w:rFonts w:hint="eastAsia" w:ascii="宋体" w:hAnsi="宋体" w:eastAsia="宋体" w:cs="宋体"/>
          <w:color w:val="auto"/>
          <w:highlight w:val="none"/>
        </w:rPr>
        <w:t>至</w:t>
      </w:r>
      <w:r>
        <w:rPr>
          <w:rFonts w:hint="eastAsia" w:ascii="宋体" w:hAnsi="宋体" w:eastAsia="宋体" w:cs="宋体"/>
          <w:color w:val="auto"/>
          <w:highlight w:val="none"/>
          <w:u w:val="single"/>
        </w:rPr>
        <w:t>12：00</w:t>
      </w:r>
      <w:r>
        <w:rPr>
          <w:rFonts w:hint="eastAsia" w:ascii="宋体" w:hAnsi="宋体" w:eastAsia="宋体" w:cs="宋体"/>
          <w:color w:val="auto"/>
          <w:highlight w:val="none"/>
        </w:rPr>
        <w:t>，下午</w:t>
      </w:r>
      <w:r>
        <w:rPr>
          <w:rFonts w:hint="eastAsia" w:ascii="宋体" w:hAnsi="宋体" w:eastAsia="宋体" w:cs="宋体"/>
          <w:color w:val="auto"/>
          <w:highlight w:val="none"/>
          <w:u w:val="single"/>
        </w:rPr>
        <w:t>3：00</w:t>
      </w:r>
      <w:r>
        <w:rPr>
          <w:rFonts w:hint="eastAsia" w:ascii="宋体" w:hAnsi="宋体" w:eastAsia="宋体" w:cs="宋体"/>
          <w:color w:val="auto"/>
          <w:highlight w:val="none"/>
        </w:rPr>
        <w:t>至</w:t>
      </w:r>
      <w:r>
        <w:rPr>
          <w:rFonts w:hint="eastAsia" w:ascii="宋体" w:hAnsi="宋体" w:eastAsia="宋体" w:cs="宋体"/>
          <w:color w:val="auto"/>
          <w:highlight w:val="none"/>
          <w:u w:val="single"/>
        </w:rPr>
        <w:t>6：00</w:t>
      </w:r>
      <w:r>
        <w:rPr>
          <w:rFonts w:hint="eastAsia" w:ascii="宋体" w:hAnsi="宋体" w:eastAsia="宋体" w:cs="宋体"/>
          <w:color w:val="auto"/>
          <w:highlight w:val="none"/>
        </w:rPr>
        <w:t>（北京时间，法定节假日除外）</w:t>
      </w:r>
    </w:p>
    <w:p w14:paraId="3814CA07">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u w:val="single"/>
        </w:rPr>
      </w:pPr>
      <w:r>
        <w:rPr>
          <w:rFonts w:hint="eastAsia" w:ascii="宋体" w:hAnsi="宋体" w:eastAsia="宋体" w:cs="宋体"/>
          <w:color w:val="auto"/>
          <w:szCs w:val="21"/>
          <w:highlight w:val="none"/>
          <w:lang w:bidi="ar"/>
        </w:rPr>
        <w:t>2.地点：广西南宁市白沙大道53号松宇时代17楼财务室（电话：0771-4915599）</w:t>
      </w:r>
    </w:p>
    <w:p w14:paraId="06F38941">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u w:val="single"/>
        </w:rPr>
      </w:pPr>
      <w:r>
        <w:rPr>
          <w:rFonts w:hint="eastAsia" w:ascii="宋体" w:hAnsi="宋体" w:eastAsia="宋体" w:cs="宋体"/>
          <w:color w:val="auto"/>
          <w:szCs w:val="21"/>
          <w:highlight w:val="none"/>
          <w:lang w:bidi="ar"/>
        </w:rPr>
        <w:t>3.方式：</w:t>
      </w:r>
      <w:r>
        <w:rPr>
          <w:rFonts w:hint="eastAsia" w:ascii="宋体" w:hAnsi="宋体" w:eastAsia="宋体" w:cs="宋体"/>
          <w:color w:val="auto"/>
          <w:szCs w:val="21"/>
          <w:highlight w:val="none"/>
          <w:lang w:val="en-US" w:eastAsia="zh-CN" w:bidi="ar"/>
        </w:rPr>
        <w:t>现场获取或邮购。</w:t>
      </w:r>
      <w:r>
        <w:rPr>
          <w:rFonts w:hint="eastAsia" w:ascii="宋体" w:hAnsi="宋体" w:eastAsia="宋体" w:cs="宋体"/>
          <w:color w:val="auto"/>
          <w:szCs w:val="21"/>
          <w:highlight w:val="none"/>
          <w:lang w:bidi="ar"/>
        </w:rPr>
        <w:t>获取时间内，供应商代表携带授权委托书原件或复印件到获取地点购买。【邮购文件的，需于获取截止时间前，将以上材料邮寄或传真到采购代理机构，或发送到采购代理机构电子邮箱（gxguojian@126.com）进行报名，同时请注明供应商名称、项目名称、分标号（如有）、项目编号、供应商收件人、邮寄地址、邮编、电子邮箱、联系电话、传真号码等信息。】</w:t>
      </w:r>
    </w:p>
    <w:p w14:paraId="4534B85D">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4.售价：采购文件工本费每本</w:t>
      </w:r>
      <w:r>
        <w:rPr>
          <w:rFonts w:hint="eastAsia" w:ascii="宋体" w:hAnsi="宋体" w:eastAsia="宋体" w:cs="宋体"/>
          <w:color w:val="auto"/>
          <w:szCs w:val="21"/>
          <w:highlight w:val="none"/>
          <w:u w:val="single"/>
          <w:lang w:bidi="ar"/>
        </w:rPr>
        <w:t xml:space="preserve"> 300 </w:t>
      </w:r>
      <w:r>
        <w:rPr>
          <w:rFonts w:hint="eastAsia" w:ascii="宋体" w:hAnsi="宋体" w:eastAsia="宋体" w:cs="宋体"/>
          <w:color w:val="auto"/>
          <w:szCs w:val="21"/>
          <w:highlight w:val="none"/>
          <w:lang w:bidi="ar"/>
        </w:rPr>
        <w:t>元，售后不退。如需邮购，每本另加邮费</w:t>
      </w:r>
      <w:r>
        <w:rPr>
          <w:rFonts w:hint="eastAsia" w:ascii="宋体" w:hAnsi="宋体" w:eastAsia="宋体" w:cs="宋体"/>
          <w:color w:val="auto"/>
          <w:szCs w:val="21"/>
          <w:highlight w:val="none"/>
          <w:u w:val="single"/>
          <w:lang w:bidi="ar"/>
        </w:rPr>
        <w:t xml:space="preserve"> 50 </w:t>
      </w:r>
      <w:r>
        <w:rPr>
          <w:rFonts w:hint="eastAsia" w:ascii="宋体" w:hAnsi="宋体" w:eastAsia="宋体" w:cs="宋体"/>
          <w:color w:val="auto"/>
          <w:szCs w:val="21"/>
          <w:highlight w:val="none"/>
          <w:lang w:bidi="ar"/>
        </w:rPr>
        <w:t>元【需于获取截止时间前将工本费（邮购的另加邮费）汇到采购代理机构下述指定账号】；</w:t>
      </w:r>
      <w:r>
        <w:rPr>
          <w:rFonts w:hint="eastAsia" w:ascii="宋体" w:hAnsi="宋体" w:eastAsia="宋体" w:cs="宋体"/>
          <w:b/>
          <w:color w:val="auto"/>
          <w:szCs w:val="21"/>
          <w:highlight w:val="none"/>
          <w:lang w:bidi="ar"/>
        </w:rPr>
        <w:t>依据《国家税务总局关于增值税发票开具有关问题的公告》国家税务总局公告2017年第16号的规定，供应商在索取发票时，请提供纳税人识别号或统一社会信用代码。</w:t>
      </w:r>
    </w:p>
    <w:p w14:paraId="67422F72">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开户名称：广西国建项目管理有限公司</w:t>
      </w:r>
    </w:p>
    <w:p w14:paraId="706F6D7F">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开户银行：广西北部湾银行股份有限公司南宁市江南支行</w:t>
      </w:r>
    </w:p>
    <w:p w14:paraId="550B82AF">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银行账号：8001 1543 5100 037</w:t>
      </w:r>
    </w:p>
    <w:p w14:paraId="389FC191">
      <w:pPr>
        <w:keepNext w:val="0"/>
        <w:keepLines w:val="0"/>
        <w:pageBreakBefore w:val="0"/>
        <w:kinsoku/>
        <w:wordWrap/>
        <w:overflowPunct/>
        <w:topLinePunct w:val="0"/>
        <w:autoSpaceDE/>
        <w:autoSpaceDN/>
        <w:bidi w:val="0"/>
        <w:adjustRightInd/>
        <w:spacing w:line="500" w:lineRule="exact"/>
        <w:textAlignment w:val="auto"/>
        <w:rPr>
          <w:rFonts w:hint="eastAsia" w:ascii="宋体" w:hAnsi="宋体" w:eastAsia="宋体" w:cs="宋体"/>
          <w:b/>
          <w:color w:val="auto"/>
          <w:highlight w:val="none"/>
        </w:rPr>
      </w:pPr>
      <w:bookmarkStart w:id="16" w:name="_Toc28359015"/>
      <w:bookmarkStart w:id="17" w:name="_Toc28359092"/>
      <w:bookmarkStart w:id="18" w:name="_Toc35393801"/>
      <w:bookmarkStart w:id="19" w:name="_Toc35393632"/>
      <w:r>
        <w:rPr>
          <w:rFonts w:hint="eastAsia" w:ascii="宋体" w:hAnsi="宋体" w:eastAsia="宋体" w:cs="宋体"/>
          <w:b/>
          <w:color w:val="auto"/>
          <w:szCs w:val="21"/>
          <w:highlight w:val="none"/>
          <w:lang w:bidi="ar"/>
        </w:rPr>
        <w:t>四、响应文件提交</w:t>
      </w:r>
      <w:bookmarkEnd w:id="16"/>
      <w:bookmarkEnd w:id="17"/>
      <w:bookmarkEnd w:id="18"/>
      <w:bookmarkEnd w:id="19"/>
    </w:p>
    <w:p w14:paraId="570CAA24">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（一）本项目递交响应文件截止时间为：</w:t>
      </w:r>
      <w:r>
        <w:rPr>
          <w:rFonts w:hint="eastAsia" w:ascii="宋体" w:hAnsi="宋体" w:eastAsia="宋体" w:cs="宋体"/>
          <w:color w:val="auto"/>
          <w:szCs w:val="21"/>
          <w:highlight w:val="none"/>
          <w:u w:val="single"/>
          <w:lang w:bidi="ar"/>
        </w:rPr>
        <w:t xml:space="preserve"> 2026年7月17日9时30分</w:t>
      </w:r>
      <w:r>
        <w:rPr>
          <w:rFonts w:hint="eastAsia" w:ascii="宋体" w:hAnsi="宋体" w:eastAsia="宋体" w:cs="宋体"/>
          <w:bCs/>
          <w:color w:val="auto"/>
          <w:szCs w:val="21"/>
          <w:highlight w:val="none"/>
          <w:u w:val="single"/>
          <w:lang w:val="en-US" w:eastAsia="zh-CN" w:bidi="ar"/>
        </w:rPr>
        <w:t xml:space="preserve"> </w:t>
      </w:r>
      <w:r>
        <w:rPr>
          <w:rFonts w:hint="eastAsia" w:ascii="宋体" w:hAnsi="宋体" w:eastAsia="宋体" w:cs="宋体"/>
          <w:color w:val="auto"/>
          <w:szCs w:val="21"/>
          <w:highlight w:val="none"/>
          <w:lang w:val="en-US" w:eastAsia="zh-CN" w:bidi="ar"/>
        </w:rPr>
        <w:t>止。</w:t>
      </w:r>
    </w:p>
    <w:p w14:paraId="105CA7ED">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（二）本项目的响应文件可通过</w:t>
      </w:r>
      <w:r>
        <w:rPr>
          <w:rFonts w:hint="eastAsia" w:ascii="宋体" w:hAnsi="宋体" w:eastAsia="宋体" w:cs="宋体"/>
          <w:b/>
          <w:bCs/>
          <w:color w:val="auto"/>
          <w:szCs w:val="21"/>
          <w:highlight w:val="none"/>
          <w:lang w:val="en-US" w:eastAsia="zh-CN" w:bidi="ar"/>
        </w:rPr>
        <w:t>现场递交响应文件或邮寄快递方式</w:t>
      </w:r>
      <w:r>
        <w:rPr>
          <w:rFonts w:hint="eastAsia" w:ascii="宋体" w:hAnsi="宋体" w:eastAsia="宋体" w:cs="宋体"/>
          <w:color w:val="auto"/>
          <w:szCs w:val="21"/>
          <w:highlight w:val="none"/>
          <w:lang w:val="en-US" w:eastAsia="zh-CN" w:bidi="ar"/>
        </w:rPr>
        <w:t>送达响应文件（邮寄快递方式送达须在响应文件递交截止时间前寄到）。</w:t>
      </w:r>
    </w:p>
    <w:p w14:paraId="72E2541C">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1、接收邮寄包裹的时间为工作日9：00～18：00。</w:t>
      </w:r>
    </w:p>
    <w:p w14:paraId="1DFE5990">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响应文件必须在递交响应文件截止时间前送达，且须交由采购代理机构当面签收。采购代理机构签收邮寄包裹的时间即为响应文件的送达时间，逾期送达的响应文件无效。逾期送达的，后果由供应商自行承担。</w:t>
      </w:r>
    </w:p>
    <w:p w14:paraId="1A261445">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2、供应商应充分预留响应文件邮寄、送达所需要的时间。为确保邮寄包裹能及时送达，应选择邮寄运送时间有保障的快递公司寄送响应文件。</w:t>
      </w:r>
    </w:p>
    <w:p w14:paraId="6AF23EE9">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3、供应商在按照采购文件的要求装订、密封好响应文件后，应使用不透明、防水的邮寄袋（或箱）再次包裹已密封好的响应文件，并在邮寄袋（或箱）上粘牢注明项目名称、项目编号、供应商名称、项目开标日期、有效的电子邮箱等内容的纸质表格，工作人员将依据此信息将邮寄袋（或箱）提交该项目的评审环节。如采购代理机构收到的邮寄包裹未按上述要求进行标识，造成无法将响应文件提交至该项目评审环节的，由此产生的后果由供应商自行承担。</w:t>
      </w:r>
    </w:p>
    <w:p w14:paraId="12989B07">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4、采购代理机构在收到响应文件的邮寄包裹后，第一时间按照供应商在邮寄包裹上所预留的电子邮箱告知响应文件收件的情况，请供应商务必确保所预留的电子邮箱的有效性，并注意查收邮件。</w:t>
      </w:r>
    </w:p>
    <w:p w14:paraId="6C7047E4">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5、响应文件邮寄地址：广西国建项目管理有限公司（广西南宁市白沙大道53号松宇时代17楼）。</w:t>
      </w:r>
    </w:p>
    <w:p w14:paraId="13222F47">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收件人：蓝春花</w:t>
      </w:r>
    </w:p>
    <w:p w14:paraId="2BEAFDD2">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联系电话：0771-4915533。</w:t>
      </w:r>
    </w:p>
    <w:p w14:paraId="6FC6F2C8">
      <w:pPr>
        <w:keepNext w:val="0"/>
        <w:keepLines w:val="0"/>
        <w:pageBreakBefore w:val="0"/>
        <w:kinsoku/>
        <w:wordWrap/>
        <w:overflowPunct/>
        <w:topLinePunct w:val="0"/>
        <w:autoSpaceDE/>
        <w:autoSpaceDN/>
        <w:bidi w:val="0"/>
        <w:adjustRightInd/>
        <w:spacing w:line="500" w:lineRule="exact"/>
        <w:textAlignment w:val="auto"/>
        <w:rPr>
          <w:rFonts w:hint="eastAsia" w:ascii="宋体" w:hAnsi="宋体" w:eastAsia="宋体" w:cs="宋体"/>
          <w:b/>
          <w:color w:val="auto"/>
          <w:highlight w:val="none"/>
        </w:rPr>
      </w:pPr>
      <w:bookmarkStart w:id="20" w:name="_Toc35393802"/>
      <w:bookmarkStart w:id="21" w:name="_Toc28359093"/>
      <w:bookmarkStart w:id="22" w:name="_Toc35393633"/>
      <w:bookmarkStart w:id="23" w:name="_Toc28359016"/>
      <w:r>
        <w:rPr>
          <w:rFonts w:hint="eastAsia" w:ascii="宋体" w:hAnsi="宋体" w:eastAsia="宋体" w:cs="宋体"/>
          <w:b/>
          <w:color w:val="auto"/>
          <w:szCs w:val="21"/>
          <w:highlight w:val="none"/>
          <w:lang w:bidi="ar"/>
        </w:rPr>
        <w:t>五、</w:t>
      </w:r>
      <w:bookmarkEnd w:id="20"/>
      <w:bookmarkEnd w:id="21"/>
      <w:bookmarkEnd w:id="22"/>
      <w:bookmarkEnd w:id="23"/>
      <w:r>
        <w:rPr>
          <w:rFonts w:hint="eastAsia" w:ascii="宋体" w:hAnsi="宋体" w:eastAsia="宋体" w:cs="宋体"/>
          <w:b/>
          <w:color w:val="auto"/>
          <w:szCs w:val="21"/>
          <w:highlight w:val="none"/>
          <w:lang w:bidi="ar"/>
        </w:rPr>
        <w:t>磋商时间及地点</w:t>
      </w:r>
    </w:p>
    <w:p w14:paraId="1E1FFC51">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1.时间：</w:t>
      </w:r>
      <w:r>
        <w:rPr>
          <w:rFonts w:hint="eastAsia" w:ascii="宋体" w:hAnsi="宋体" w:eastAsia="宋体" w:cs="宋体"/>
          <w:color w:val="auto"/>
          <w:szCs w:val="21"/>
          <w:highlight w:val="none"/>
          <w:u w:val="single"/>
          <w:lang w:bidi="ar"/>
        </w:rPr>
        <w:t xml:space="preserve"> 2026年7月17日9时30分</w:t>
      </w:r>
      <w:r>
        <w:rPr>
          <w:rFonts w:hint="eastAsia" w:ascii="宋体" w:hAnsi="宋体" w:eastAsia="宋体" w:cs="宋体"/>
          <w:bCs/>
          <w:color w:val="auto"/>
          <w:szCs w:val="21"/>
          <w:highlight w:val="none"/>
          <w:u w:val="single"/>
          <w:lang w:val="en-US" w:eastAsia="zh-CN" w:bidi="ar"/>
        </w:rPr>
        <w:t xml:space="preserve"> </w:t>
      </w:r>
      <w:r>
        <w:rPr>
          <w:rFonts w:hint="eastAsia" w:ascii="宋体" w:hAnsi="宋体" w:eastAsia="宋体" w:cs="宋体"/>
          <w:color w:val="auto"/>
          <w:szCs w:val="21"/>
          <w:highlight w:val="none"/>
          <w:lang w:bidi="ar"/>
        </w:rPr>
        <w:t>（北京时间）后。</w:t>
      </w:r>
    </w:p>
    <w:p w14:paraId="28F72729">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2.地点：广西国建项目管理有限公司评标室（广西南宁市白沙大道53号松宇时代17楼）。</w:t>
      </w:r>
    </w:p>
    <w:p w14:paraId="337E130A">
      <w:pPr>
        <w:keepNext w:val="0"/>
        <w:keepLines w:val="0"/>
        <w:pageBreakBefore w:val="0"/>
        <w:kinsoku/>
        <w:wordWrap/>
        <w:overflowPunct/>
        <w:topLinePunct w:val="0"/>
        <w:autoSpaceDE/>
        <w:autoSpaceDN/>
        <w:bidi w:val="0"/>
        <w:adjustRightInd/>
        <w:spacing w:line="500" w:lineRule="exact"/>
        <w:textAlignment w:val="auto"/>
        <w:rPr>
          <w:rFonts w:hint="eastAsia" w:ascii="宋体" w:hAnsi="宋体" w:eastAsia="宋体" w:cs="宋体"/>
          <w:b/>
          <w:color w:val="auto"/>
          <w:highlight w:val="none"/>
        </w:rPr>
      </w:pPr>
      <w:bookmarkStart w:id="24" w:name="_Toc28359017"/>
      <w:bookmarkStart w:id="25" w:name="_Toc35393634"/>
      <w:bookmarkStart w:id="26" w:name="_Toc28359094"/>
      <w:bookmarkStart w:id="27" w:name="_Toc35393803"/>
      <w:r>
        <w:rPr>
          <w:rFonts w:hint="eastAsia" w:ascii="宋体" w:hAnsi="宋体" w:eastAsia="宋体" w:cs="宋体"/>
          <w:b/>
          <w:color w:val="auto"/>
          <w:szCs w:val="21"/>
          <w:highlight w:val="none"/>
          <w:lang w:bidi="ar"/>
        </w:rPr>
        <w:t>六、公告期限</w:t>
      </w:r>
      <w:bookmarkEnd w:id="24"/>
      <w:bookmarkEnd w:id="25"/>
      <w:bookmarkEnd w:id="26"/>
      <w:bookmarkEnd w:id="27"/>
    </w:p>
    <w:p w14:paraId="3FD9E46E">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自本公告发布之日起5个工作日。</w:t>
      </w:r>
    </w:p>
    <w:p w14:paraId="1E580DF1">
      <w:pPr>
        <w:keepNext w:val="0"/>
        <w:keepLines w:val="0"/>
        <w:pageBreakBefore w:val="0"/>
        <w:kinsoku/>
        <w:wordWrap/>
        <w:overflowPunct/>
        <w:topLinePunct w:val="0"/>
        <w:autoSpaceDE/>
        <w:autoSpaceDN/>
        <w:bidi w:val="0"/>
        <w:adjustRightInd/>
        <w:spacing w:line="500" w:lineRule="exact"/>
        <w:textAlignment w:val="auto"/>
        <w:rPr>
          <w:rFonts w:hint="eastAsia" w:ascii="宋体" w:hAnsi="宋体" w:eastAsia="宋体" w:cs="宋体"/>
          <w:b/>
          <w:color w:val="auto"/>
          <w:highlight w:val="none"/>
        </w:rPr>
      </w:pPr>
      <w:bookmarkStart w:id="28" w:name="_Toc35393804"/>
      <w:bookmarkStart w:id="29" w:name="_Toc35393635"/>
      <w:r>
        <w:rPr>
          <w:rFonts w:hint="eastAsia" w:ascii="宋体" w:hAnsi="宋体" w:eastAsia="宋体" w:cs="宋体"/>
          <w:b/>
          <w:color w:val="auto"/>
          <w:szCs w:val="21"/>
          <w:highlight w:val="none"/>
          <w:lang w:bidi="ar"/>
        </w:rPr>
        <w:t>七、其他补充事宜</w:t>
      </w:r>
      <w:bookmarkEnd w:id="28"/>
      <w:bookmarkEnd w:id="29"/>
    </w:p>
    <w:p w14:paraId="7D7B7EC5">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lang w:val="en-US" w:eastAsia="zh-CN" w:bidi="ar"/>
        </w:rPr>
      </w:pPr>
      <w:r>
        <w:rPr>
          <w:rFonts w:hint="eastAsia" w:ascii="宋体" w:hAnsi="宋体" w:eastAsia="宋体" w:cs="宋体"/>
          <w:bCs/>
          <w:color w:val="auto"/>
          <w:szCs w:val="21"/>
          <w:highlight w:val="none"/>
          <w:lang w:bidi="ar"/>
        </w:rPr>
        <w:t>1.磋商保证金（人民币）</w:t>
      </w:r>
      <w:r>
        <w:rPr>
          <w:rFonts w:hint="eastAsia" w:ascii="宋体" w:hAnsi="宋体" w:eastAsia="宋体" w:cs="宋体"/>
          <w:color w:val="auto"/>
          <w:szCs w:val="21"/>
          <w:highlight w:val="none"/>
          <w:lang w:bidi="ar"/>
        </w:rPr>
        <w:t>：</w:t>
      </w:r>
      <w:r>
        <w:rPr>
          <w:rFonts w:hint="eastAsia" w:ascii="宋体" w:hAnsi="宋体" w:eastAsia="宋体" w:cs="宋体"/>
          <w:color w:val="auto"/>
          <w:szCs w:val="21"/>
          <w:highlight w:val="none"/>
          <w:u w:val="single"/>
          <w:lang w:bidi="ar"/>
        </w:rPr>
        <w:t xml:space="preserve"> </w:t>
      </w:r>
      <w:r>
        <w:rPr>
          <w:rFonts w:hint="eastAsia" w:ascii="宋体" w:hAnsi="宋体" w:eastAsia="宋体" w:cs="宋体"/>
          <w:color w:val="auto"/>
          <w:szCs w:val="21"/>
          <w:highlight w:val="none"/>
          <w:u w:val="single"/>
          <w:lang w:val="en-US" w:eastAsia="zh-CN" w:bidi="ar"/>
        </w:rPr>
        <w:t xml:space="preserve">本项目不收取磋商保证金。 </w:t>
      </w:r>
    </w:p>
    <w:p w14:paraId="5F96BBD0">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bCs/>
          <w:color w:val="auto"/>
          <w:szCs w:val="21"/>
          <w:highlight w:val="none"/>
          <w:lang w:bidi="ar"/>
        </w:rPr>
      </w:pPr>
      <w:r>
        <w:rPr>
          <w:rFonts w:hint="eastAsia" w:ascii="宋体" w:hAnsi="宋体" w:eastAsia="宋体" w:cs="宋体"/>
          <w:bCs/>
          <w:color w:val="auto"/>
          <w:szCs w:val="21"/>
          <w:highlight w:val="none"/>
          <w:lang w:bidi="ar"/>
        </w:rPr>
        <w:t>2.公告媒体：中国采购与招标网（https://www.chinabidding.com.cn/）、广西国建项目管理有限公司网（https://gxguojian.com/）</w:t>
      </w:r>
    </w:p>
    <w:p w14:paraId="698CB405">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bCs/>
          <w:color w:val="auto"/>
          <w:szCs w:val="21"/>
          <w:highlight w:val="none"/>
          <w:lang w:val="en-US" w:eastAsia="zh-CN" w:bidi="ar"/>
        </w:rPr>
      </w:pPr>
      <w:r>
        <w:rPr>
          <w:rFonts w:hint="eastAsia" w:ascii="宋体" w:hAnsi="宋体" w:eastAsia="宋体" w:cs="宋体"/>
          <w:bCs/>
          <w:color w:val="auto"/>
          <w:szCs w:val="21"/>
          <w:highlight w:val="none"/>
          <w:lang w:val="en-US" w:eastAsia="zh-CN" w:bidi="ar"/>
        </w:rPr>
        <w:t>3.3.关于澄清、磋商的有关要求</w:t>
      </w:r>
    </w:p>
    <w:p w14:paraId="6E554966">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bCs/>
          <w:color w:val="auto"/>
          <w:szCs w:val="21"/>
          <w:highlight w:val="none"/>
          <w:lang w:val="en-US" w:eastAsia="zh-CN" w:bidi="ar"/>
        </w:rPr>
      </w:pPr>
      <w:r>
        <w:rPr>
          <w:rFonts w:hint="eastAsia" w:ascii="宋体" w:hAnsi="宋体" w:eastAsia="宋体" w:cs="宋体"/>
          <w:bCs/>
          <w:color w:val="auto"/>
          <w:szCs w:val="21"/>
          <w:highlight w:val="none"/>
          <w:lang w:val="en-US" w:eastAsia="zh-CN" w:bidi="ar"/>
        </w:rPr>
        <w:t>（1）为便于采购代理机构或评审小组在项目评审期间与供应商取得联系，做好评审过程中供应商对响应文件的澄清、说明或者补正，以及磋商等工作，供应商务必做到：“第四章响应文件格式”中“磋商书”落款处的“电话/传真”务必填写法定代表人或委托代理人的电话联系方式。</w:t>
      </w:r>
    </w:p>
    <w:p w14:paraId="5612E5EE">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bCs/>
          <w:color w:val="auto"/>
          <w:szCs w:val="21"/>
          <w:highlight w:val="none"/>
          <w:lang w:val="en-US" w:eastAsia="zh-CN" w:bidi="ar"/>
        </w:rPr>
      </w:pPr>
      <w:r>
        <w:rPr>
          <w:rFonts w:hint="eastAsia" w:ascii="宋体" w:hAnsi="宋体" w:eastAsia="宋体" w:cs="宋体"/>
          <w:bCs/>
          <w:color w:val="auto"/>
          <w:szCs w:val="21"/>
          <w:highlight w:val="none"/>
          <w:lang w:val="en-US" w:eastAsia="zh-CN" w:bidi="ar"/>
        </w:rPr>
        <w:t>（2）评审当天供应商务必保持电话畅通。如果评审过程中需要与供应商进行磋商、要求供应商进行报价以及对响应文件作出澄清、说明或者补正的，评审小组会通知供应商在规定的时间内通过电子邮件、传真等方式提交。</w:t>
      </w:r>
    </w:p>
    <w:p w14:paraId="37E6DDCD">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bCs/>
          <w:color w:val="auto"/>
          <w:szCs w:val="21"/>
          <w:highlight w:val="none"/>
          <w:lang w:val="en-US" w:eastAsia="zh-CN" w:bidi="ar"/>
        </w:rPr>
      </w:pPr>
      <w:r>
        <w:rPr>
          <w:rFonts w:hint="eastAsia" w:ascii="宋体" w:hAnsi="宋体" w:eastAsia="宋体" w:cs="宋体"/>
          <w:bCs/>
          <w:color w:val="auto"/>
          <w:szCs w:val="21"/>
          <w:highlight w:val="none"/>
          <w:lang w:val="en-US" w:eastAsia="zh-CN" w:bidi="ar"/>
        </w:rPr>
        <w:t>（3）如供应商未按上述要求提供联系电话、传真号码或电子邮箱，致使采购代理机构或评审小组在项目评审期间无法与供应商取得联系的，或因自身原因未能保持电话畅通或未按评审小组要求提交澄清、说明或者补正的，后果由供应商自行承担。</w:t>
      </w:r>
    </w:p>
    <w:p w14:paraId="5274259B">
      <w:pPr>
        <w:keepNext w:val="0"/>
        <w:keepLines w:val="0"/>
        <w:pageBreakBefore w:val="0"/>
        <w:kinsoku/>
        <w:wordWrap/>
        <w:overflowPunct/>
        <w:topLinePunct w:val="0"/>
        <w:autoSpaceDE/>
        <w:autoSpaceDN/>
        <w:bidi w:val="0"/>
        <w:adjustRightInd/>
        <w:spacing w:line="500" w:lineRule="exact"/>
        <w:textAlignment w:val="auto"/>
        <w:rPr>
          <w:rFonts w:hint="eastAsia" w:ascii="宋体" w:hAnsi="宋体" w:eastAsia="宋体" w:cs="宋体"/>
          <w:b/>
          <w:color w:val="auto"/>
          <w:highlight w:val="none"/>
        </w:rPr>
      </w:pPr>
      <w:r>
        <w:rPr>
          <w:rFonts w:hint="eastAsia" w:ascii="宋体" w:hAnsi="宋体" w:eastAsia="宋体" w:cs="宋体"/>
          <w:b/>
          <w:color w:val="auto"/>
          <w:szCs w:val="21"/>
          <w:highlight w:val="none"/>
          <w:lang w:bidi="ar"/>
        </w:rPr>
        <w:t>八、对本次招标提出询问，请按以下方式联系。</w:t>
      </w:r>
    </w:p>
    <w:p w14:paraId="3C569C04">
      <w:pPr>
        <w:keepNext w:val="0"/>
        <w:keepLines w:val="0"/>
        <w:pageBreakBefore w:val="0"/>
        <w:widowControl/>
        <w:kinsoku/>
        <w:wordWrap/>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1.采购人信息</w:t>
      </w:r>
    </w:p>
    <w:p w14:paraId="7935EE5A">
      <w:pPr>
        <w:keepNext w:val="0"/>
        <w:keepLines w:val="0"/>
        <w:pageBreakBefore w:val="0"/>
        <w:kinsoku/>
        <w:wordWrap/>
        <w:overflowPunct/>
        <w:topLinePunct w:val="0"/>
        <w:autoSpaceDE/>
        <w:autoSpaceDN/>
        <w:bidi w:val="0"/>
        <w:adjustRightInd/>
        <w:spacing w:line="500" w:lineRule="exact"/>
        <w:ind w:firstLine="630" w:firstLineChars="3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名 称：</w:t>
      </w:r>
      <w:r>
        <w:rPr>
          <w:rFonts w:hint="eastAsia" w:ascii="宋体" w:hAnsi="宋体" w:eastAsia="宋体" w:cs="宋体"/>
          <w:color w:val="auto"/>
          <w:szCs w:val="21"/>
          <w:highlight w:val="none"/>
          <w:lang w:eastAsia="zh-CN" w:bidi="ar"/>
        </w:rPr>
        <w:t>南宁市朱槿商业保理有限公司</w:t>
      </w:r>
    </w:p>
    <w:p w14:paraId="5EF81B63">
      <w:pPr>
        <w:keepNext w:val="0"/>
        <w:keepLines w:val="0"/>
        <w:pageBreakBefore w:val="0"/>
        <w:kinsoku/>
        <w:wordWrap/>
        <w:overflowPunct/>
        <w:topLinePunct w:val="0"/>
        <w:autoSpaceDE/>
        <w:autoSpaceDN/>
        <w:bidi w:val="0"/>
        <w:adjustRightInd/>
        <w:spacing w:line="500" w:lineRule="exact"/>
        <w:ind w:firstLine="630" w:firstLineChars="3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地 址：广西壮族自治区南宁市青秀区朱槿路16号</w:t>
      </w:r>
    </w:p>
    <w:p w14:paraId="569E81E2">
      <w:pPr>
        <w:keepNext w:val="0"/>
        <w:keepLines w:val="0"/>
        <w:pageBreakBefore w:val="0"/>
        <w:kinsoku/>
        <w:wordWrap/>
        <w:overflowPunct/>
        <w:topLinePunct w:val="0"/>
        <w:autoSpaceDE/>
        <w:autoSpaceDN/>
        <w:bidi w:val="0"/>
        <w:adjustRightInd/>
        <w:spacing w:line="500" w:lineRule="exact"/>
        <w:ind w:firstLine="630" w:firstLineChars="300"/>
        <w:jc w:val="left"/>
        <w:textAlignment w:val="auto"/>
        <w:rPr>
          <w:rFonts w:hint="default" w:ascii="宋体" w:hAnsi="宋体" w:eastAsia="宋体" w:cs="宋体"/>
          <w:color w:val="auto"/>
          <w:highlight w:val="none"/>
          <w:lang w:val="en-US" w:eastAsia="zh-CN"/>
        </w:rPr>
      </w:pPr>
      <w:r>
        <w:rPr>
          <w:rFonts w:hint="eastAsia" w:ascii="宋体" w:hAnsi="宋体" w:eastAsia="宋体" w:cs="宋体"/>
          <w:color w:val="auto"/>
          <w:szCs w:val="21"/>
          <w:highlight w:val="none"/>
          <w:lang w:bidi="ar"/>
        </w:rPr>
        <w:t>联系人及联系方式：</w:t>
      </w:r>
      <w:bookmarkStart w:id="30" w:name="_Toc28359009"/>
      <w:bookmarkStart w:id="31" w:name="_Toc28359086"/>
      <w:r>
        <w:rPr>
          <w:rFonts w:hint="eastAsia" w:ascii="宋体" w:hAnsi="宋体" w:eastAsia="宋体" w:cs="宋体"/>
          <w:color w:val="auto"/>
          <w:szCs w:val="21"/>
          <w:highlight w:val="none"/>
          <w:lang w:val="en-US" w:eastAsia="zh-CN" w:bidi="ar"/>
        </w:rPr>
        <w:t>唐倩茹 0771-5837283</w:t>
      </w:r>
    </w:p>
    <w:p w14:paraId="1A315396">
      <w:pPr>
        <w:keepNext w:val="0"/>
        <w:keepLines w:val="0"/>
        <w:pageBreakBefore w:val="0"/>
        <w:kinsoku/>
        <w:wordWrap/>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2.采购代理机构信息</w:t>
      </w:r>
      <w:bookmarkEnd w:id="30"/>
      <w:bookmarkEnd w:id="31"/>
    </w:p>
    <w:p w14:paraId="15D291A5">
      <w:pPr>
        <w:keepNext w:val="0"/>
        <w:keepLines w:val="0"/>
        <w:pageBreakBefore w:val="0"/>
        <w:kinsoku/>
        <w:wordWrap/>
        <w:overflowPunct/>
        <w:topLinePunct w:val="0"/>
        <w:autoSpaceDE/>
        <w:autoSpaceDN/>
        <w:bidi w:val="0"/>
        <w:adjustRightInd/>
        <w:spacing w:line="500" w:lineRule="exact"/>
        <w:ind w:firstLine="630" w:firstLineChars="3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名 称：广西国建项目管理有限公司</w:t>
      </w:r>
    </w:p>
    <w:p w14:paraId="1C7E0599">
      <w:pPr>
        <w:keepNext w:val="0"/>
        <w:keepLines w:val="0"/>
        <w:pageBreakBefore w:val="0"/>
        <w:kinsoku/>
        <w:wordWrap/>
        <w:overflowPunct/>
        <w:topLinePunct w:val="0"/>
        <w:autoSpaceDE/>
        <w:autoSpaceDN/>
        <w:bidi w:val="0"/>
        <w:adjustRightInd/>
        <w:spacing w:line="500" w:lineRule="exact"/>
        <w:ind w:firstLine="630" w:firstLineChars="3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地 址：广西南宁市白沙大道53号松宇时代17楼</w:t>
      </w:r>
    </w:p>
    <w:p w14:paraId="0C7D86CE">
      <w:pPr>
        <w:keepNext w:val="0"/>
        <w:keepLines w:val="0"/>
        <w:pageBreakBefore w:val="0"/>
        <w:kinsoku/>
        <w:wordWrap/>
        <w:overflowPunct/>
        <w:topLinePunct w:val="0"/>
        <w:autoSpaceDE/>
        <w:autoSpaceDN/>
        <w:bidi w:val="0"/>
        <w:adjustRightInd/>
        <w:spacing w:line="500" w:lineRule="exact"/>
        <w:ind w:firstLine="630" w:firstLineChars="3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bidi="ar"/>
        </w:rPr>
        <w:t>联系方式：</w:t>
      </w:r>
      <w:bookmarkStart w:id="32" w:name="_Toc28359087"/>
      <w:bookmarkStart w:id="33" w:name="_Toc28359010"/>
      <w:r>
        <w:rPr>
          <w:rFonts w:hint="eastAsia" w:ascii="宋体" w:hAnsi="宋体" w:eastAsia="宋体" w:cs="宋体"/>
          <w:color w:val="auto"/>
          <w:szCs w:val="21"/>
          <w:highlight w:val="none"/>
          <w:lang w:val="en-US" w:eastAsia="zh-CN" w:bidi="ar"/>
        </w:rPr>
        <w:t>0771-4915533</w:t>
      </w:r>
    </w:p>
    <w:bookmarkEnd w:id="32"/>
    <w:bookmarkEnd w:id="33"/>
    <w:p w14:paraId="7463F94B">
      <w:pPr>
        <w:keepNext w:val="0"/>
        <w:keepLines w:val="0"/>
        <w:pageBreakBefore w:val="0"/>
        <w:kinsoku/>
        <w:wordWrap/>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3.项目联系方式</w:t>
      </w:r>
    </w:p>
    <w:p w14:paraId="3E5EB267">
      <w:pPr>
        <w:keepNext w:val="0"/>
        <w:keepLines w:val="0"/>
        <w:pageBreakBefore w:val="0"/>
        <w:kinsoku/>
        <w:wordWrap/>
        <w:overflowPunct/>
        <w:topLinePunct w:val="0"/>
        <w:autoSpaceDE/>
        <w:autoSpaceDN/>
        <w:bidi w:val="0"/>
        <w:adjustRightInd/>
        <w:spacing w:line="500" w:lineRule="exact"/>
        <w:ind w:firstLine="630" w:firstLineChars="300"/>
        <w:textAlignment w:val="auto"/>
        <w:rPr>
          <w:rFonts w:hint="eastAsia" w:ascii="宋体" w:hAnsi="宋体" w:eastAsia="宋体" w:cs="宋体"/>
          <w:color w:val="auto"/>
          <w:highlight w:val="none"/>
        </w:rPr>
      </w:pPr>
      <w:r>
        <w:rPr>
          <w:rFonts w:hint="eastAsia" w:ascii="宋体" w:hAnsi="宋体" w:eastAsia="宋体" w:cs="宋体"/>
          <w:color w:val="auto"/>
          <w:highlight w:val="none"/>
        </w:rPr>
        <w:t>项目联系人：</w:t>
      </w:r>
      <w:r>
        <w:rPr>
          <w:rFonts w:hint="eastAsia" w:ascii="宋体" w:hAnsi="宋体" w:eastAsia="宋体" w:cs="宋体"/>
          <w:color w:val="auto"/>
          <w:highlight w:val="none"/>
          <w:lang w:val="en-US" w:eastAsia="zh-CN"/>
        </w:rPr>
        <w:t>蓝春花</w:t>
      </w:r>
      <w:r>
        <w:rPr>
          <w:rFonts w:hint="eastAsia" w:ascii="宋体" w:hAnsi="宋体" w:eastAsia="宋体" w:cs="宋体"/>
          <w:color w:val="auto"/>
          <w:highlight w:val="none"/>
        </w:rPr>
        <w:t xml:space="preserve"> </w:t>
      </w:r>
    </w:p>
    <w:p w14:paraId="70AB274C">
      <w:pPr>
        <w:keepNext w:val="0"/>
        <w:keepLines w:val="0"/>
        <w:pageBreakBefore w:val="0"/>
        <w:kinsoku/>
        <w:wordWrap/>
        <w:overflowPunct/>
        <w:topLinePunct w:val="0"/>
        <w:autoSpaceDE/>
        <w:autoSpaceDN/>
        <w:bidi w:val="0"/>
        <w:adjustRightInd/>
        <w:spacing w:line="500" w:lineRule="exact"/>
        <w:ind w:firstLine="630" w:firstLineChars="3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电 话：</w:t>
      </w:r>
      <w:r>
        <w:rPr>
          <w:rFonts w:hint="eastAsia" w:ascii="宋体" w:hAnsi="宋体" w:eastAsia="宋体" w:cs="宋体"/>
          <w:color w:val="auto"/>
          <w:szCs w:val="21"/>
          <w:highlight w:val="none"/>
          <w:lang w:val="en-US" w:eastAsia="zh-CN" w:bidi="ar"/>
        </w:rPr>
        <w:t>0771-4915533</w:t>
      </w:r>
    </w:p>
    <w:p w14:paraId="079BEBE1">
      <w:pPr>
        <w:keepNext w:val="0"/>
        <w:keepLines w:val="0"/>
        <w:pageBreakBefore w:val="0"/>
        <w:kinsoku/>
        <w:wordWrap/>
        <w:overflowPunct/>
        <w:topLinePunct w:val="0"/>
        <w:autoSpaceDE/>
        <w:autoSpaceDN/>
        <w:bidi w:val="0"/>
        <w:adjustRightInd/>
        <w:spacing w:line="500" w:lineRule="exact"/>
        <w:ind w:firstLine="630" w:firstLineChars="3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购买</w:t>
      </w:r>
      <w:r>
        <w:rPr>
          <w:rFonts w:hint="eastAsia" w:ascii="宋体" w:hAnsi="宋体" w:eastAsia="宋体" w:cs="宋体"/>
          <w:color w:val="auto"/>
          <w:szCs w:val="21"/>
          <w:highlight w:val="none"/>
          <w:lang w:val="en-US" w:eastAsia="zh-CN" w:bidi="ar"/>
        </w:rPr>
        <w:t>采购</w:t>
      </w:r>
      <w:r>
        <w:rPr>
          <w:rFonts w:hint="eastAsia" w:ascii="宋体" w:hAnsi="宋体" w:eastAsia="宋体" w:cs="宋体"/>
          <w:color w:val="auto"/>
          <w:szCs w:val="21"/>
          <w:highlight w:val="none"/>
          <w:lang w:bidi="ar"/>
        </w:rPr>
        <w:t>文件联系人：</w:t>
      </w:r>
      <w:r>
        <w:rPr>
          <w:rFonts w:hint="eastAsia" w:ascii="宋体" w:hAnsi="宋体" w:eastAsia="宋体" w:cs="宋体"/>
          <w:color w:val="auto"/>
          <w:szCs w:val="21"/>
          <w:highlight w:val="none"/>
          <w:lang w:val="en-US" w:eastAsia="zh-CN" w:bidi="ar"/>
        </w:rPr>
        <w:t>张艳芬</w:t>
      </w:r>
      <w:r>
        <w:rPr>
          <w:rFonts w:hint="eastAsia" w:ascii="宋体" w:hAnsi="宋体" w:eastAsia="宋体" w:cs="宋体"/>
          <w:color w:val="auto"/>
          <w:szCs w:val="21"/>
          <w:highlight w:val="none"/>
          <w:lang w:bidi="ar"/>
        </w:rPr>
        <w:t xml:space="preserve">     联系电话：0771-4915599</w:t>
      </w:r>
    </w:p>
    <w:p w14:paraId="106EB33F">
      <w:pPr>
        <w:keepNext w:val="0"/>
        <w:keepLines w:val="0"/>
        <w:pageBreakBefore w:val="0"/>
        <w:kinsoku/>
        <w:wordWrap/>
        <w:overflowPunct/>
        <w:topLinePunct w:val="0"/>
        <w:autoSpaceDE/>
        <w:autoSpaceDN/>
        <w:bidi w:val="0"/>
        <w:adjustRightInd/>
        <w:spacing w:line="500" w:lineRule="exact"/>
        <w:ind w:firstLine="630" w:firstLineChars="3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保证金退付联系人：</w:t>
      </w:r>
      <w:r>
        <w:rPr>
          <w:rFonts w:hint="eastAsia" w:ascii="宋体" w:hAnsi="宋体" w:eastAsia="宋体" w:cs="宋体"/>
          <w:color w:val="auto"/>
          <w:szCs w:val="21"/>
          <w:highlight w:val="none"/>
          <w:lang w:val="en-US" w:eastAsia="zh-CN" w:bidi="ar"/>
        </w:rPr>
        <w:t xml:space="preserve">张艳芬   </w:t>
      </w:r>
      <w:r>
        <w:rPr>
          <w:rFonts w:hint="eastAsia" w:ascii="宋体" w:hAnsi="宋体" w:eastAsia="宋体" w:cs="宋体"/>
          <w:color w:val="auto"/>
          <w:szCs w:val="21"/>
          <w:highlight w:val="none"/>
          <w:lang w:bidi="ar"/>
        </w:rPr>
        <w:t xml:space="preserve">    联系电话：0771-4915599</w:t>
      </w:r>
    </w:p>
    <w:p w14:paraId="74EF98A6">
      <w:pPr>
        <w:keepNext w:val="0"/>
        <w:keepLines w:val="0"/>
        <w:pageBreakBefore w:val="0"/>
        <w:kinsoku/>
        <w:wordWrap/>
        <w:overflowPunct/>
        <w:topLinePunct w:val="0"/>
        <w:autoSpaceDE/>
        <w:autoSpaceDN/>
        <w:bidi w:val="0"/>
        <w:adjustRightInd/>
        <w:spacing w:line="500" w:lineRule="exact"/>
        <w:ind w:firstLine="630" w:firstLineChars="3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bidi="ar"/>
        </w:rPr>
        <w:t>公司邮箱：gxguojian@126.com     邮编：5300</w:t>
      </w:r>
      <w:r>
        <w:rPr>
          <w:rFonts w:hint="eastAsia" w:ascii="宋体" w:hAnsi="宋体" w:eastAsia="宋体" w:cs="宋体"/>
          <w:color w:val="auto"/>
          <w:szCs w:val="21"/>
          <w:highlight w:val="none"/>
          <w:lang w:val="en-US" w:eastAsia="zh-CN" w:bidi="ar"/>
        </w:rPr>
        <w:t>31</w:t>
      </w:r>
    </w:p>
    <w:p w14:paraId="48CD6782">
      <w:pPr>
        <w:keepNext w:val="0"/>
        <w:keepLines w:val="0"/>
        <w:pageBreakBefore w:val="0"/>
        <w:kinsoku/>
        <w:wordWrap/>
        <w:overflowPunct/>
        <w:topLinePunct w:val="0"/>
        <w:autoSpaceDE/>
        <w:autoSpaceDN/>
        <w:bidi w:val="0"/>
        <w:adjustRightInd/>
        <w:spacing w:line="500" w:lineRule="exact"/>
        <w:textAlignment w:val="auto"/>
        <w:rPr>
          <w:rFonts w:hint="eastAsia" w:ascii="宋体" w:hAnsi="宋体" w:eastAsia="宋体" w:cs="宋体"/>
          <w:highlight w:val="none"/>
        </w:rPr>
      </w:pPr>
    </w:p>
    <w:p w14:paraId="7D76BD32">
      <w:pPr>
        <w:keepNext w:val="0"/>
        <w:keepLines w:val="0"/>
        <w:pageBreakBefore w:val="0"/>
        <w:kinsoku/>
        <w:wordWrap/>
        <w:overflowPunct/>
        <w:topLinePunct w:val="0"/>
        <w:autoSpaceDE/>
        <w:autoSpaceDN/>
        <w:bidi w:val="0"/>
        <w:adjustRightInd/>
        <w:snapToGrid w:val="0"/>
        <w:spacing w:line="500" w:lineRule="exact"/>
        <w:ind w:left="238"/>
        <w:jc w:val="righ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bidi="ar"/>
        </w:rPr>
        <w:t>广西国建项目管理有限公司</w:t>
      </w:r>
    </w:p>
    <w:p w14:paraId="3778791E">
      <w:pPr>
        <w:keepNext w:val="0"/>
        <w:keepLines w:val="0"/>
        <w:pageBreakBefore w:val="0"/>
        <w:widowControl/>
        <w:kinsoku/>
        <w:wordWrap/>
        <w:overflowPunct/>
        <w:topLinePunct w:val="0"/>
        <w:autoSpaceDE/>
        <w:autoSpaceDN/>
        <w:bidi w:val="0"/>
        <w:adjustRightInd/>
        <w:spacing w:line="500" w:lineRule="exact"/>
        <w:jc w:val="right"/>
        <w:textAlignment w:val="auto"/>
        <w:rPr>
          <w:rFonts w:hint="eastAsia" w:ascii="宋体" w:hAnsi="宋体" w:eastAsia="宋体" w:cs="宋体"/>
          <w:b/>
          <w:color w:val="auto"/>
          <w:sz w:val="32"/>
          <w:szCs w:val="32"/>
          <w:highlight w:val="none"/>
        </w:rPr>
      </w:pPr>
      <w:r>
        <w:rPr>
          <w:rFonts w:hint="eastAsia" w:ascii="宋体" w:hAnsi="宋体" w:eastAsia="宋体" w:cs="宋体"/>
          <w:color w:val="auto"/>
          <w:szCs w:val="21"/>
          <w:highlight w:val="none"/>
          <w:lang w:bidi="ar"/>
        </w:rPr>
        <w:t xml:space="preserve"> </w:t>
      </w:r>
      <w:r>
        <w:rPr>
          <w:rFonts w:hint="eastAsia" w:ascii="宋体" w:hAnsi="宋体" w:eastAsia="宋体" w:cs="宋体"/>
          <w:color w:val="auto"/>
          <w:szCs w:val="21"/>
          <w:highlight w:val="none"/>
          <w:lang w:val="en-US" w:eastAsia="zh-CN" w:bidi="ar"/>
        </w:rPr>
        <w:t>2026</w:t>
      </w:r>
      <w:r>
        <w:rPr>
          <w:rFonts w:hint="eastAsia" w:ascii="宋体" w:hAnsi="宋体" w:eastAsia="宋体" w:cs="宋体"/>
          <w:color w:val="auto"/>
          <w:szCs w:val="21"/>
          <w:highlight w:val="none"/>
          <w:lang w:bidi="ar"/>
        </w:rPr>
        <w:t>年</w:t>
      </w:r>
      <w:r>
        <w:rPr>
          <w:rFonts w:hint="eastAsia" w:ascii="宋体" w:hAnsi="宋体" w:cs="宋体"/>
          <w:color w:val="auto"/>
          <w:szCs w:val="21"/>
          <w:highlight w:val="none"/>
          <w:lang w:val="en-US" w:eastAsia="zh-CN" w:bidi="ar"/>
        </w:rPr>
        <w:t>7</w:t>
      </w:r>
      <w:r>
        <w:rPr>
          <w:rFonts w:hint="eastAsia" w:ascii="宋体" w:hAnsi="宋体" w:eastAsia="宋体" w:cs="宋体"/>
          <w:color w:val="auto"/>
          <w:szCs w:val="21"/>
          <w:highlight w:val="none"/>
          <w:lang w:bidi="ar"/>
        </w:rPr>
        <w:t>月</w:t>
      </w:r>
      <w:r>
        <w:rPr>
          <w:rFonts w:hint="eastAsia" w:ascii="宋体" w:hAnsi="宋体" w:cs="宋体"/>
          <w:color w:val="auto"/>
          <w:szCs w:val="21"/>
          <w:highlight w:val="none"/>
          <w:lang w:val="en-US" w:eastAsia="zh-CN" w:bidi="ar"/>
        </w:rPr>
        <w:t>6</w:t>
      </w:r>
      <w:r>
        <w:rPr>
          <w:rFonts w:hint="eastAsia" w:ascii="宋体" w:hAnsi="宋体" w:eastAsia="宋体" w:cs="宋体"/>
          <w:color w:val="auto"/>
          <w:szCs w:val="21"/>
          <w:highlight w:val="none"/>
          <w:lang w:bidi="ar"/>
        </w:rPr>
        <w:t>日</w:t>
      </w:r>
      <w:r>
        <w:rPr>
          <w:rFonts w:hint="eastAsia" w:ascii="宋体" w:hAnsi="宋体" w:eastAsia="宋体" w:cs="宋体"/>
          <w:color w:val="auto"/>
          <w:sz w:val="24"/>
          <w:highlight w:val="none"/>
          <w:lang w:bidi="ar"/>
        </w:rPr>
        <w:t xml:space="preserve"> </w:t>
      </w:r>
      <w:r>
        <w:rPr>
          <w:rFonts w:hint="eastAsia" w:ascii="宋体" w:hAnsi="宋体" w:eastAsia="宋体" w:cs="宋体"/>
          <w:b/>
          <w:color w:val="auto"/>
          <w:sz w:val="32"/>
          <w:szCs w:val="32"/>
          <w:highlight w:val="none"/>
        </w:rPr>
        <w:br w:type="page"/>
      </w:r>
    </w:p>
    <w:p w14:paraId="479F4102">
      <w:pPr>
        <w:spacing w:line="360" w:lineRule="auto"/>
        <w:jc w:val="center"/>
        <w:rPr>
          <w:rFonts w:hint="eastAsia" w:ascii="宋体" w:hAnsi="宋体" w:eastAsia="宋体" w:cs="宋体"/>
          <w:b/>
          <w:color w:val="auto"/>
          <w:sz w:val="32"/>
          <w:szCs w:val="32"/>
          <w:highlight w:val="none"/>
        </w:rPr>
      </w:pPr>
    </w:p>
    <w:p w14:paraId="3B80C629">
      <w:pPr>
        <w:spacing w:line="360" w:lineRule="auto"/>
        <w:jc w:val="center"/>
        <w:rPr>
          <w:rFonts w:hint="eastAsia" w:ascii="宋体" w:hAnsi="宋体" w:eastAsia="宋体" w:cs="宋体"/>
          <w:b/>
          <w:color w:val="auto"/>
          <w:sz w:val="32"/>
          <w:szCs w:val="32"/>
          <w:highlight w:val="none"/>
        </w:rPr>
      </w:pPr>
    </w:p>
    <w:p w14:paraId="0FD319D9">
      <w:pPr>
        <w:spacing w:line="360" w:lineRule="auto"/>
        <w:jc w:val="center"/>
        <w:rPr>
          <w:rFonts w:hint="eastAsia" w:ascii="宋体" w:hAnsi="宋体" w:eastAsia="宋体" w:cs="宋体"/>
          <w:b/>
          <w:color w:val="auto"/>
          <w:sz w:val="32"/>
          <w:szCs w:val="32"/>
          <w:highlight w:val="none"/>
        </w:rPr>
      </w:pPr>
    </w:p>
    <w:p w14:paraId="1D186782">
      <w:pPr>
        <w:spacing w:line="360" w:lineRule="auto"/>
        <w:jc w:val="center"/>
        <w:rPr>
          <w:rFonts w:hint="eastAsia" w:ascii="宋体" w:hAnsi="宋体" w:eastAsia="宋体" w:cs="宋体"/>
          <w:b/>
          <w:color w:val="auto"/>
          <w:sz w:val="32"/>
          <w:szCs w:val="32"/>
          <w:highlight w:val="none"/>
        </w:rPr>
      </w:pPr>
    </w:p>
    <w:p w14:paraId="2C8A72DD">
      <w:pPr>
        <w:spacing w:line="360" w:lineRule="auto"/>
        <w:jc w:val="center"/>
        <w:rPr>
          <w:rFonts w:hint="eastAsia" w:ascii="宋体" w:hAnsi="宋体" w:eastAsia="宋体" w:cs="宋体"/>
          <w:b/>
          <w:color w:val="auto"/>
          <w:sz w:val="32"/>
          <w:szCs w:val="32"/>
          <w:highlight w:val="none"/>
        </w:rPr>
      </w:pPr>
    </w:p>
    <w:p w14:paraId="6B8451CE">
      <w:pPr>
        <w:spacing w:line="360" w:lineRule="auto"/>
        <w:rPr>
          <w:rFonts w:hint="eastAsia" w:ascii="宋体" w:hAnsi="宋体" w:eastAsia="宋体" w:cs="宋体"/>
          <w:b/>
          <w:color w:val="auto"/>
          <w:sz w:val="32"/>
          <w:szCs w:val="32"/>
          <w:highlight w:val="none"/>
        </w:rPr>
      </w:pPr>
    </w:p>
    <w:p w14:paraId="6BB3F596">
      <w:pPr>
        <w:pStyle w:val="12"/>
        <w:spacing w:line="360" w:lineRule="auto"/>
        <w:rPr>
          <w:rFonts w:hint="eastAsia" w:ascii="宋体" w:hAnsi="宋体" w:eastAsia="宋体" w:cs="宋体"/>
          <w:color w:val="auto"/>
          <w:sz w:val="44"/>
          <w:szCs w:val="44"/>
          <w:highlight w:val="none"/>
        </w:rPr>
      </w:pPr>
      <w:bookmarkStart w:id="34" w:name="_Toc476258663"/>
      <w:bookmarkStart w:id="35" w:name="_Toc21873"/>
      <w:r>
        <w:rPr>
          <w:rFonts w:hint="eastAsia" w:ascii="宋体" w:hAnsi="宋体" w:eastAsia="宋体" w:cs="宋体"/>
          <w:color w:val="auto"/>
          <w:sz w:val="44"/>
          <w:szCs w:val="44"/>
          <w:highlight w:val="none"/>
        </w:rPr>
        <w:t>第二章  磋商供应商须知</w:t>
      </w:r>
      <w:bookmarkEnd w:id="34"/>
      <w:bookmarkEnd w:id="35"/>
    </w:p>
    <w:p w14:paraId="4165636E">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磋商供应商须知前附表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9020"/>
      </w:tblGrid>
      <w:tr w14:paraId="57D58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26" w:type="dxa"/>
            <w:noWrap w:val="0"/>
            <w:vAlign w:val="top"/>
          </w:tcPr>
          <w:p w14:paraId="44985108">
            <w:pPr>
              <w:pStyle w:val="16"/>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9020" w:type="dxa"/>
            <w:noWrap w:val="0"/>
            <w:vAlign w:val="top"/>
          </w:tcPr>
          <w:p w14:paraId="7E98AEE4">
            <w:pPr>
              <w:pStyle w:val="16"/>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内    容</w:t>
            </w:r>
          </w:p>
        </w:tc>
      </w:tr>
      <w:tr w14:paraId="1C0B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26" w:type="dxa"/>
            <w:noWrap w:val="0"/>
            <w:vAlign w:val="center"/>
          </w:tcPr>
          <w:p w14:paraId="7F38DE2C">
            <w:pPr>
              <w:pStyle w:val="16"/>
              <w:numPr>
                <w:ilvl w:val="0"/>
                <w:numId w:val="1"/>
              </w:numPr>
              <w:spacing w:line="360" w:lineRule="auto"/>
              <w:jc w:val="center"/>
              <w:rPr>
                <w:rFonts w:hint="eastAsia" w:ascii="宋体" w:hAnsi="宋体" w:eastAsia="宋体" w:cs="宋体"/>
                <w:color w:val="auto"/>
                <w:highlight w:val="none"/>
              </w:rPr>
            </w:pPr>
          </w:p>
        </w:tc>
        <w:tc>
          <w:tcPr>
            <w:tcW w:w="9020" w:type="dxa"/>
            <w:noWrap w:val="0"/>
            <w:vAlign w:val="center"/>
          </w:tcPr>
          <w:p w14:paraId="3E6C0AAB">
            <w:pPr>
              <w:autoSpaceDE w:val="0"/>
              <w:autoSpaceDN w:val="0"/>
              <w:snapToGrid w:val="0"/>
              <w:spacing w:line="360" w:lineRule="auto"/>
              <w:textAlignment w:val="bottom"/>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采购项目名称：</w:t>
            </w:r>
            <w:r>
              <w:rPr>
                <w:rFonts w:hint="eastAsia" w:ascii="宋体" w:hAnsi="宋体" w:eastAsia="宋体" w:cs="宋体"/>
                <w:color w:val="auto"/>
                <w:szCs w:val="21"/>
                <w:highlight w:val="none"/>
                <w:lang w:eastAsia="zh-CN"/>
              </w:rPr>
              <w:t>南宁市朱槿商业保理有限公司主体信用评级项目</w:t>
            </w:r>
          </w:p>
          <w:p w14:paraId="47633640">
            <w:pPr>
              <w:autoSpaceDE w:val="0"/>
              <w:autoSpaceDN w:val="0"/>
              <w:snapToGrid w:val="0"/>
              <w:spacing w:line="360" w:lineRule="auto"/>
              <w:textAlignment w:val="bottom"/>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采购项目编号：</w:t>
            </w:r>
            <w:r>
              <w:rPr>
                <w:rFonts w:hint="eastAsia" w:ascii="宋体" w:hAnsi="宋体" w:eastAsia="宋体" w:cs="宋体"/>
                <w:color w:val="auto"/>
                <w:szCs w:val="21"/>
                <w:highlight w:val="none"/>
                <w:lang w:eastAsia="zh-CN"/>
              </w:rPr>
              <w:t>GXGJ2026-C0133-S</w:t>
            </w:r>
          </w:p>
        </w:tc>
      </w:tr>
      <w:tr w14:paraId="4062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26" w:type="dxa"/>
            <w:noWrap w:val="0"/>
            <w:vAlign w:val="center"/>
          </w:tcPr>
          <w:p w14:paraId="55CBE540">
            <w:pPr>
              <w:pStyle w:val="16"/>
              <w:numPr>
                <w:ilvl w:val="0"/>
                <w:numId w:val="1"/>
              </w:numPr>
              <w:spacing w:line="360" w:lineRule="auto"/>
              <w:jc w:val="center"/>
              <w:rPr>
                <w:rFonts w:hint="eastAsia" w:ascii="宋体" w:hAnsi="宋体" w:eastAsia="宋体" w:cs="宋体"/>
                <w:color w:val="auto"/>
                <w:highlight w:val="none"/>
              </w:rPr>
            </w:pPr>
          </w:p>
        </w:tc>
        <w:tc>
          <w:tcPr>
            <w:tcW w:w="9020" w:type="dxa"/>
            <w:noWrap w:val="0"/>
            <w:vAlign w:val="center"/>
          </w:tcPr>
          <w:p w14:paraId="2FDC8908">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供应商资格：详见磋商公告</w:t>
            </w:r>
          </w:p>
        </w:tc>
      </w:tr>
      <w:tr w14:paraId="218EC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noWrap w:val="0"/>
            <w:vAlign w:val="center"/>
          </w:tcPr>
          <w:p w14:paraId="26BDF5C3">
            <w:pPr>
              <w:pStyle w:val="16"/>
              <w:numPr>
                <w:ilvl w:val="0"/>
                <w:numId w:val="1"/>
              </w:numPr>
              <w:spacing w:line="360" w:lineRule="auto"/>
              <w:jc w:val="center"/>
              <w:rPr>
                <w:rFonts w:hint="eastAsia" w:ascii="宋体" w:hAnsi="宋体" w:eastAsia="宋体" w:cs="宋体"/>
                <w:color w:val="auto"/>
                <w:highlight w:val="none"/>
              </w:rPr>
            </w:pPr>
          </w:p>
        </w:tc>
        <w:tc>
          <w:tcPr>
            <w:tcW w:w="9020" w:type="dxa"/>
            <w:noWrap w:val="0"/>
            <w:vAlign w:val="center"/>
          </w:tcPr>
          <w:p w14:paraId="6CD869F0">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磋商报价：供应商必须就所竞项目的全部内容作完整唯一报价，漏项报价的或有选择的或有条件的报价，其响应文件将视为无效。</w:t>
            </w:r>
          </w:p>
        </w:tc>
      </w:tr>
      <w:tr w14:paraId="4D685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noWrap w:val="0"/>
            <w:vAlign w:val="center"/>
          </w:tcPr>
          <w:p w14:paraId="1822DE2C">
            <w:pPr>
              <w:pStyle w:val="16"/>
              <w:numPr>
                <w:ilvl w:val="0"/>
                <w:numId w:val="1"/>
              </w:numPr>
              <w:spacing w:line="360" w:lineRule="auto"/>
              <w:jc w:val="center"/>
              <w:rPr>
                <w:rFonts w:hint="eastAsia" w:ascii="宋体" w:hAnsi="宋体" w:eastAsia="宋体" w:cs="宋体"/>
                <w:color w:val="auto"/>
                <w:highlight w:val="none"/>
              </w:rPr>
            </w:pPr>
          </w:p>
        </w:tc>
        <w:tc>
          <w:tcPr>
            <w:tcW w:w="9020" w:type="dxa"/>
            <w:noWrap w:val="0"/>
            <w:vAlign w:val="center"/>
          </w:tcPr>
          <w:p w14:paraId="2A7DCAB4">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成交服务费：本项目的成交服务费按本须知21.1款规定计取，由</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在签订合同前，一次性向采购代理机构支付。</w:t>
            </w:r>
          </w:p>
        </w:tc>
      </w:tr>
      <w:tr w14:paraId="213A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noWrap w:val="0"/>
            <w:vAlign w:val="center"/>
          </w:tcPr>
          <w:p w14:paraId="560B1D94">
            <w:pPr>
              <w:pStyle w:val="16"/>
              <w:numPr>
                <w:ilvl w:val="0"/>
                <w:numId w:val="1"/>
              </w:numPr>
              <w:spacing w:line="360" w:lineRule="auto"/>
              <w:jc w:val="center"/>
              <w:rPr>
                <w:rFonts w:hint="eastAsia" w:ascii="宋体" w:hAnsi="宋体" w:eastAsia="宋体" w:cs="宋体"/>
                <w:color w:val="auto"/>
                <w:highlight w:val="none"/>
              </w:rPr>
            </w:pPr>
          </w:p>
        </w:tc>
        <w:tc>
          <w:tcPr>
            <w:tcW w:w="9020" w:type="dxa"/>
            <w:noWrap w:val="0"/>
            <w:vAlign w:val="center"/>
          </w:tcPr>
          <w:p w14:paraId="75A3F541">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响应文件份数：正本一份，副本四份。供应商在递交响应文件时，同时递交响应文件电子版。</w:t>
            </w:r>
          </w:p>
          <w:p w14:paraId="0577A2D3">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1、响应文件电子版形式与份数：盖章后扫描的PDF格式1份。</w:t>
            </w:r>
          </w:p>
          <w:p w14:paraId="100D7C7A">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2、响应文件电子版密封方式：将响应文件电子版U盘与纸质版响应文件一并装入响应文件袋中。</w:t>
            </w:r>
          </w:p>
        </w:tc>
      </w:tr>
      <w:tr w14:paraId="44E9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noWrap w:val="0"/>
            <w:vAlign w:val="center"/>
          </w:tcPr>
          <w:p w14:paraId="715485D4">
            <w:pPr>
              <w:pStyle w:val="16"/>
              <w:numPr>
                <w:ilvl w:val="0"/>
                <w:numId w:val="1"/>
              </w:numPr>
              <w:spacing w:line="360" w:lineRule="auto"/>
              <w:jc w:val="center"/>
              <w:rPr>
                <w:rFonts w:hint="eastAsia" w:ascii="宋体" w:hAnsi="宋体" w:eastAsia="宋体" w:cs="宋体"/>
                <w:color w:val="auto"/>
                <w:highlight w:val="none"/>
              </w:rPr>
            </w:pPr>
          </w:p>
        </w:tc>
        <w:tc>
          <w:tcPr>
            <w:tcW w:w="9020" w:type="dxa"/>
            <w:noWrap w:val="0"/>
            <w:vAlign w:val="center"/>
          </w:tcPr>
          <w:p w14:paraId="549B3656">
            <w:pPr>
              <w:pStyle w:val="16"/>
              <w:spacing w:line="240" w:lineRule="auto"/>
              <w:rPr>
                <w:rFonts w:hint="eastAsia" w:ascii="宋体" w:hAnsi="宋体" w:eastAsia="宋体" w:cs="宋体"/>
                <w:bCs/>
                <w:color w:val="auto"/>
                <w:highlight w:val="none"/>
              </w:rPr>
            </w:pPr>
            <w:r>
              <w:rPr>
                <w:rFonts w:hint="eastAsia" w:ascii="宋体" w:hAnsi="宋体" w:eastAsia="宋体" w:cs="宋体"/>
                <w:color w:val="auto"/>
                <w:highlight w:val="none"/>
              </w:rPr>
              <w:t>响应文件递交截止时间：</w:t>
            </w:r>
            <w:r>
              <w:rPr>
                <w:rFonts w:hint="eastAsia" w:ascii="宋体" w:hAnsi="宋体" w:eastAsia="宋体" w:cs="宋体"/>
                <w:color w:val="auto"/>
                <w:szCs w:val="21"/>
                <w:highlight w:val="none"/>
                <w:u w:val="single"/>
              </w:rPr>
              <w:t>详见磋商公告</w:t>
            </w:r>
          </w:p>
          <w:p w14:paraId="16D04E4D">
            <w:pPr>
              <w:pStyle w:val="8"/>
              <w:spacing w:line="240" w:lineRule="auto"/>
              <w:rPr>
                <w:rFonts w:hint="eastAsia" w:ascii="宋体" w:hAnsi="宋体" w:eastAsia="宋体" w:cs="宋体"/>
                <w:color w:val="auto"/>
                <w:highlight w:val="none"/>
              </w:rPr>
            </w:pPr>
            <w:r>
              <w:rPr>
                <w:rFonts w:hint="eastAsia" w:ascii="宋体" w:hAnsi="宋体" w:eastAsia="宋体" w:cs="宋体"/>
                <w:color w:val="auto"/>
                <w:highlight w:val="none"/>
              </w:rPr>
              <w:t>响应文件递交地址：</w:t>
            </w:r>
            <w:r>
              <w:rPr>
                <w:rFonts w:hint="eastAsia" w:ascii="宋体" w:hAnsi="宋体" w:eastAsia="宋体" w:cs="宋体"/>
                <w:color w:val="auto"/>
                <w:highlight w:val="none"/>
                <w:u w:val="single"/>
              </w:rPr>
              <w:t>详见磋商公告</w:t>
            </w:r>
          </w:p>
        </w:tc>
      </w:tr>
      <w:tr w14:paraId="0C9B4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26" w:type="dxa"/>
            <w:noWrap w:val="0"/>
            <w:vAlign w:val="center"/>
          </w:tcPr>
          <w:p w14:paraId="792476C7">
            <w:pPr>
              <w:pStyle w:val="16"/>
              <w:numPr>
                <w:ilvl w:val="0"/>
                <w:numId w:val="1"/>
              </w:numPr>
              <w:spacing w:line="360" w:lineRule="auto"/>
              <w:jc w:val="center"/>
              <w:rPr>
                <w:rFonts w:hint="eastAsia" w:ascii="宋体" w:hAnsi="宋体" w:eastAsia="宋体" w:cs="宋体"/>
                <w:color w:val="auto"/>
                <w:highlight w:val="none"/>
              </w:rPr>
            </w:pPr>
          </w:p>
        </w:tc>
        <w:tc>
          <w:tcPr>
            <w:tcW w:w="9020" w:type="dxa"/>
            <w:noWrap w:val="0"/>
            <w:vAlign w:val="center"/>
          </w:tcPr>
          <w:p w14:paraId="073EBECE">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竞争性磋商响应文件有效期：响应文件递交截止日期后六十日。</w:t>
            </w:r>
          </w:p>
          <w:p w14:paraId="4E17BD55">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1、未成交的响应文件有效期内均应保持有效。</w:t>
            </w:r>
          </w:p>
          <w:p w14:paraId="5F1BD5A2">
            <w:pPr>
              <w:autoSpaceDE w:val="0"/>
              <w:autoSpaceDN w:val="0"/>
              <w:snapToGrid w:val="0"/>
              <w:spacing w:line="360" w:lineRule="auto"/>
              <w:textAlignment w:val="bottom"/>
              <w:rPr>
                <w:rFonts w:hint="eastAsia" w:ascii="宋体" w:hAnsi="宋体" w:eastAsia="宋体" w:cs="宋体"/>
                <w:color w:val="auto"/>
                <w:highlight w:val="none"/>
              </w:rPr>
            </w:pPr>
            <w:r>
              <w:rPr>
                <w:rFonts w:hint="eastAsia" w:ascii="宋体" w:hAnsi="宋体" w:eastAsia="宋体" w:cs="宋体"/>
                <w:color w:val="auto"/>
                <w:szCs w:val="21"/>
                <w:highlight w:val="none"/>
              </w:rPr>
              <w:t>2、成交供应商的响应文件有效期自响应文件提交截止之日起至合同履行完毕止均应保持有效。</w:t>
            </w:r>
          </w:p>
        </w:tc>
      </w:tr>
      <w:tr w14:paraId="0D257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326DE8FA">
            <w:pPr>
              <w:pStyle w:val="16"/>
              <w:numPr>
                <w:ilvl w:val="0"/>
                <w:numId w:val="1"/>
              </w:numPr>
              <w:spacing w:line="360" w:lineRule="auto"/>
              <w:jc w:val="center"/>
              <w:rPr>
                <w:rFonts w:hint="eastAsia" w:ascii="宋体" w:hAnsi="宋体" w:eastAsia="宋体" w:cs="宋体"/>
                <w:color w:val="auto"/>
                <w:highlight w:val="none"/>
              </w:rPr>
            </w:pPr>
          </w:p>
        </w:tc>
        <w:tc>
          <w:tcPr>
            <w:tcW w:w="9020" w:type="dxa"/>
            <w:noWrap w:val="0"/>
            <w:vAlign w:val="center"/>
          </w:tcPr>
          <w:p w14:paraId="147AC5D1">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磋商保证金金额：详见磋商公告；</w:t>
            </w:r>
          </w:p>
          <w:p w14:paraId="69FE7752">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磋商保证金缴纳方式：详见磋商公告；</w:t>
            </w:r>
          </w:p>
          <w:p w14:paraId="523D2216">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磋商保证金指定账户：详见磋商公告；</w:t>
            </w:r>
          </w:p>
          <w:p w14:paraId="35B18842">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一、</w:t>
            </w:r>
            <w:r>
              <w:rPr>
                <w:rFonts w:hint="eastAsia" w:ascii="宋体" w:hAnsi="宋体" w:eastAsia="宋体" w:cs="宋体"/>
                <w:color w:val="auto"/>
                <w:szCs w:val="21"/>
                <w:highlight w:val="none"/>
              </w:rPr>
              <w:t>磋商保证金缴纳</w:t>
            </w:r>
            <w:r>
              <w:rPr>
                <w:rFonts w:hint="eastAsia" w:ascii="宋体" w:hAnsi="宋体" w:eastAsia="宋体" w:cs="宋体"/>
                <w:color w:val="auto"/>
                <w:highlight w:val="none"/>
              </w:rPr>
              <w:t>相关要求：</w:t>
            </w:r>
          </w:p>
          <w:p w14:paraId="2E7FE630">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1、磋商保证金采用</w:t>
            </w:r>
            <w:r>
              <w:rPr>
                <w:rFonts w:hint="eastAsia" w:ascii="宋体" w:hAnsi="宋体" w:eastAsia="宋体" w:cs="宋体"/>
                <w:bCs/>
                <w:color w:val="auto"/>
                <w:szCs w:val="21"/>
                <w:highlight w:val="none"/>
                <w:lang w:bidi="ar"/>
              </w:rPr>
              <w:t>银行转账、电汇、网上支付</w:t>
            </w:r>
            <w:r>
              <w:rPr>
                <w:rFonts w:hint="eastAsia" w:ascii="宋体" w:hAnsi="宋体" w:eastAsia="宋体" w:cs="宋体"/>
                <w:color w:val="auto"/>
                <w:highlight w:val="none"/>
              </w:rPr>
              <w:t>方式提交的，在响应文件提交截止时间前交至采购代理机构指定账户并且到账，供应商应将转账汇款凭证的复印件作为磋商保证金提交证明，放置于响应文件中，否则响应文件作无效处理。</w:t>
            </w:r>
          </w:p>
          <w:p w14:paraId="0FE0F3B1">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2、供应商为联合体的，可以由联合体中的一方或者多方共同缴纳磋商保证金，其缴纳的保证金对联合体各方均具有约束力。</w:t>
            </w:r>
          </w:p>
          <w:p w14:paraId="70330F1B">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备注：</w:t>
            </w:r>
          </w:p>
          <w:p w14:paraId="31839CEE">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1、响应文件提交截止时间后提交的，或未足额缴纳的，视为无效磋商保证金。</w:t>
            </w:r>
          </w:p>
          <w:p w14:paraId="0BDAC1AC">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2、供应商采用现钞方式或从个人账户（自然人投标除外）转出的磋商保证金，视为无效磋商保证金。</w:t>
            </w:r>
          </w:p>
          <w:p w14:paraId="64427097">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二、磋商保证金退还：</w:t>
            </w:r>
          </w:p>
          <w:p w14:paraId="3C4A414E">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1、未成交人的磋商保证金自成交通知书发出之日起5个工作日内，以转账方式退回到供应商银行账户。</w:t>
            </w:r>
          </w:p>
          <w:p w14:paraId="71747411">
            <w:pPr>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2、成交人的磋商保证金自合同签订并送达采购代理机构存档后5个工作日内退还，退还方式同未成交人。</w:t>
            </w:r>
          </w:p>
        </w:tc>
      </w:tr>
      <w:tr w14:paraId="30D7C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4918B276">
            <w:pPr>
              <w:pStyle w:val="16"/>
              <w:numPr>
                <w:ilvl w:val="0"/>
                <w:numId w:val="1"/>
              </w:numPr>
              <w:spacing w:line="360" w:lineRule="auto"/>
              <w:jc w:val="center"/>
              <w:rPr>
                <w:rFonts w:hint="eastAsia" w:ascii="宋体" w:hAnsi="宋体" w:eastAsia="宋体" w:cs="宋体"/>
                <w:color w:val="auto"/>
                <w:highlight w:val="none"/>
              </w:rPr>
            </w:pPr>
          </w:p>
        </w:tc>
        <w:tc>
          <w:tcPr>
            <w:tcW w:w="9020" w:type="dxa"/>
            <w:noWrap w:val="0"/>
            <w:vAlign w:val="center"/>
          </w:tcPr>
          <w:p w14:paraId="6B1AB209">
            <w:pPr>
              <w:pStyle w:val="16"/>
              <w:spacing w:line="360" w:lineRule="auto"/>
              <w:rPr>
                <w:rFonts w:hint="eastAsia" w:ascii="宋体" w:hAnsi="宋体" w:eastAsia="宋体" w:cs="宋体"/>
                <w:bCs/>
                <w:color w:val="auto"/>
                <w:highlight w:val="none"/>
              </w:rPr>
            </w:pPr>
            <w:r>
              <w:rPr>
                <w:rFonts w:hint="eastAsia" w:ascii="宋体" w:hAnsi="宋体" w:eastAsia="宋体" w:cs="宋体"/>
                <w:bCs/>
                <w:color w:val="auto"/>
                <w:highlight w:val="none"/>
              </w:rPr>
              <w:t>磋商时间：</w:t>
            </w:r>
            <w:r>
              <w:rPr>
                <w:rFonts w:hint="eastAsia" w:ascii="宋体" w:hAnsi="宋体" w:eastAsia="宋体" w:cs="宋体"/>
                <w:color w:val="auto"/>
                <w:szCs w:val="21"/>
                <w:highlight w:val="none"/>
                <w:u w:val="single"/>
              </w:rPr>
              <w:t>详见磋商公告</w:t>
            </w:r>
          </w:p>
          <w:p w14:paraId="337A7234">
            <w:pPr>
              <w:pStyle w:val="16"/>
              <w:spacing w:line="360" w:lineRule="auto"/>
              <w:rPr>
                <w:rFonts w:hint="eastAsia" w:ascii="宋体" w:hAnsi="宋体" w:eastAsia="宋体" w:cs="宋体"/>
                <w:color w:val="auto"/>
                <w:highlight w:val="none"/>
              </w:rPr>
            </w:pPr>
            <w:r>
              <w:rPr>
                <w:rFonts w:hint="eastAsia" w:ascii="宋体" w:hAnsi="宋体" w:eastAsia="宋体" w:cs="宋体"/>
                <w:bCs/>
                <w:color w:val="auto"/>
                <w:highlight w:val="none"/>
              </w:rPr>
              <w:t>磋商地点：</w:t>
            </w:r>
            <w:r>
              <w:rPr>
                <w:rFonts w:hint="eastAsia" w:ascii="宋体" w:hAnsi="宋体" w:eastAsia="宋体" w:cs="宋体"/>
                <w:color w:val="auto"/>
                <w:highlight w:val="none"/>
                <w:u w:val="single"/>
              </w:rPr>
              <w:t>详见磋商公告</w:t>
            </w:r>
          </w:p>
        </w:tc>
      </w:tr>
      <w:tr w14:paraId="28A5E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368D00F2">
            <w:pPr>
              <w:pStyle w:val="16"/>
              <w:numPr>
                <w:ilvl w:val="0"/>
                <w:numId w:val="1"/>
              </w:numPr>
              <w:spacing w:line="360" w:lineRule="auto"/>
              <w:jc w:val="center"/>
              <w:rPr>
                <w:rFonts w:hint="eastAsia" w:ascii="宋体" w:hAnsi="宋体" w:eastAsia="宋体" w:cs="宋体"/>
                <w:color w:val="auto"/>
                <w:highlight w:val="none"/>
              </w:rPr>
            </w:pPr>
          </w:p>
        </w:tc>
        <w:tc>
          <w:tcPr>
            <w:tcW w:w="9020" w:type="dxa"/>
            <w:noWrap w:val="0"/>
            <w:vAlign w:val="center"/>
          </w:tcPr>
          <w:p w14:paraId="518CD384">
            <w:pPr>
              <w:pStyle w:val="16"/>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评标方法：综合评分法（详细见第六章）</w:t>
            </w:r>
          </w:p>
        </w:tc>
      </w:tr>
      <w:tr w14:paraId="2E61D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357EA4E1">
            <w:pPr>
              <w:pStyle w:val="16"/>
              <w:numPr>
                <w:ilvl w:val="0"/>
                <w:numId w:val="1"/>
              </w:numPr>
              <w:spacing w:line="360" w:lineRule="auto"/>
              <w:jc w:val="center"/>
              <w:rPr>
                <w:rFonts w:hint="eastAsia" w:ascii="宋体" w:hAnsi="宋体" w:eastAsia="宋体" w:cs="宋体"/>
                <w:color w:val="auto"/>
                <w:highlight w:val="none"/>
              </w:rPr>
            </w:pPr>
          </w:p>
        </w:tc>
        <w:tc>
          <w:tcPr>
            <w:tcW w:w="9020" w:type="dxa"/>
            <w:noWrap w:val="0"/>
            <w:vAlign w:val="center"/>
          </w:tcPr>
          <w:p w14:paraId="52B5D787">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允许负偏离项：</w:t>
            </w:r>
          </w:p>
          <w:p w14:paraId="5A3F3483">
            <w:pPr>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商务条款评审中允许负偏离的条款数为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0 </w:t>
            </w:r>
            <w:r>
              <w:rPr>
                <w:rFonts w:hint="eastAsia" w:ascii="宋体" w:hAnsi="宋体" w:eastAsia="宋体" w:cs="宋体"/>
                <w:color w:val="auto"/>
                <w:szCs w:val="21"/>
                <w:highlight w:val="none"/>
              </w:rPr>
              <w:t>项。</w:t>
            </w:r>
          </w:p>
          <w:p w14:paraId="0242C049">
            <w:pPr>
              <w:pStyle w:val="16"/>
              <w:spacing w:line="360" w:lineRule="auto"/>
              <w:rPr>
                <w:rFonts w:hint="eastAsia" w:ascii="宋体" w:hAnsi="宋体" w:eastAsia="宋体" w:cs="宋体"/>
                <w:color w:val="auto"/>
                <w:highlight w:val="none"/>
              </w:rPr>
            </w:pPr>
            <w:r>
              <w:rPr>
                <w:rFonts w:hint="eastAsia" w:ascii="宋体" w:hAnsi="宋体" w:eastAsia="宋体" w:cs="宋体"/>
                <w:color w:val="auto"/>
                <w:szCs w:val="21"/>
                <w:highlight w:val="none"/>
              </w:rPr>
              <w:t>技术需求评审中允许负偏离的条款数为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0</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w:t>
            </w:r>
          </w:p>
        </w:tc>
      </w:tr>
      <w:tr w14:paraId="135A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0C71FBF5">
            <w:pPr>
              <w:pStyle w:val="16"/>
              <w:numPr>
                <w:ilvl w:val="0"/>
                <w:numId w:val="1"/>
              </w:numPr>
              <w:spacing w:line="360" w:lineRule="auto"/>
              <w:jc w:val="center"/>
              <w:rPr>
                <w:rFonts w:hint="eastAsia" w:ascii="宋体" w:hAnsi="宋体" w:eastAsia="宋体" w:cs="宋体"/>
                <w:color w:val="auto"/>
                <w:highlight w:val="none"/>
              </w:rPr>
            </w:pPr>
          </w:p>
        </w:tc>
        <w:tc>
          <w:tcPr>
            <w:tcW w:w="9020" w:type="dxa"/>
            <w:noWrap w:val="0"/>
            <w:vAlign w:val="center"/>
          </w:tcPr>
          <w:p w14:paraId="0890B4A5">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采购人或采购代理机构在对供应商资格审查时进行信用查询</w:t>
            </w:r>
          </w:p>
          <w:p w14:paraId="2A375F86">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查询渠道：“信用中国”网站(www.creditchina.gov.cn) 、中国政府采购网(www.ccgp.gov.cn)</w:t>
            </w:r>
          </w:p>
          <w:p w14:paraId="027A6082">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查询起止时间：20</w:t>
            </w:r>
            <w:r>
              <w:rPr>
                <w:rFonts w:hint="eastAsia" w:ascii="宋体" w:hAnsi="宋体" w:eastAsia="宋体" w:cs="宋体"/>
                <w:color w:val="auto"/>
                <w:szCs w:val="21"/>
                <w:highlight w:val="none"/>
                <w:lang w:val="en-US" w:eastAsia="zh-CN"/>
              </w:rPr>
              <w:t>23</w:t>
            </w:r>
            <w:r>
              <w:rPr>
                <w:rFonts w:hint="eastAsia" w:ascii="宋体" w:hAnsi="宋体" w:eastAsia="宋体" w:cs="宋体"/>
                <w:color w:val="auto"/>
                <w:szCs w:val="21"/>
                <w:highlight w:val="none"/>
              </w:rPr>
              <w:t>年1月1日起至提交响应文件截止时间前。</w:t>
            </w:r>
          </w:p>
          <w:p w14:paraId="21A01B1E">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查询记录和证据留存方式：在查询网站中直接打印查询记录，打印材料作为评审资料保存。</w:t>
            </w:r>
          </w:p>
          <w:p w14:paraId="3AB5A69D">
            <w:pPr>
              <w:autoSpaceDE w:val="0"/>
              <w:autoSpaceDN w:val="0"/>
              <w:snapToGrid w:val="0"/>
              <w:spacing w:line="360" w:lineRule="auto"/>
              <w:textAlignment w:val="bottom"/>
              <w:rPr>
                <w:rFonts w:hint="eastAsia" w:ascii="宋体" w:hAnsi="宋体" w:eastAsia="宋体" w:cs="宋体"/>
                <w:color w:val="auto"/>
                <w:highlight w:val="none"/>
              </w:rPr>
            </w:pPr>
            <w:r>
              <w:rPr>
                <w:rFonts w:hint="eastAsia" w:ascii="宋体" w:hAnsi="宋体" w:eastAsia="宋体" w:cs="宋体"/>
                <w:color w:val="auto"/>
                <w:szCs w:val="21"/>
                <w:highlight w:val="none"/>
              </w:rPr>
              <w:t>信用信息使用规则：对在“信用中国”网站(www.creditchina.gov.cn) 、中国政府采购网(www.ccgp.gov.cn)被列入失信被执行人、重大税收违法失信主体、政府采购严重违法失信行为记录名单的供应商，资格审查不通过，不得参与采购活动。</w:t>
            </w:r>
          </w:p>
        </w:tc>
      </w:tr>
      <w:tr w14:paraId="35B9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7E7DB9FA">
            <w:pPr>
              <w:pStyle w:val="16"/>
              <w:numPr>
                <w:ilvl w:val="0"/>
                <w:numId w:val="1"/>
              </w:numPr>
              <w:spacing w:line="360" w:lineRule="auto"/>
              <w:jc w:val="center"/>
              <w:rPr>
                <w:rFonts w:hint="eastAsia" w:ascii="宋体" w:hAnsi="宋体" w:eastAsia="宋体" w:cs="宋体"/>
                <w:color w:val="auto"/>
                <w:highlight w:val="none"/>
              </w:rPr>
            </w:pPr>
          </w:p>
        </w:tc>
        <w:tc>
          <w:tcPr>
            <w:tcW w:w="9020" w:type="dxa"/>
            <w:noWrap w:val="0"/>
            <w:vAlign w:val="center"/>
          </w:tcPr>
          <w:p w14:paraId="2F8302B8">
            <w:pPr>
              <w:widowControl/>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履约保证金金额：本项目不收取履约保证金</w:t>
            </w:r>
            <w:r>
              <w:rPr>
                <w:rFonts w:hint="eastAsia" w:ascii="宋体" w:hAnsi="宋体" w:eastAsia="宋体" w:cs="宋体"/>
                <w:color w:val="auto"/>
                <w:highlight w:val="none"/>
                <w:lang w:eastAsia="zh-CN"/>
              </w:rPr>
              <w:t>。</w:t>
            </w:r>
          </w:p>
        </w:tc>
      </w:tr>
      <w:tr w14:paraId="78F77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6B51FAB8">
            <w:pPr>
              <w:pStyle w:val="16"/>
              <w:numPr>
                <w:ilvl w:val="0"/>
                <w:numId w:val="1"/>
              </w:numPr>
              <w:spacing w:line="360" w:lineRule="auto"/>
              <w:jc w:val="center"/>
              <w:rPr>
                <w:rFonts w:hint="eastAsia" w:ascii="宋体" w:hAnsi="宋体" w:eastAsia="宋体" w:cs="宋体"/>
                <w:color w:val="auto"/>
                <w:highlight w:val="none"/>
              </w:rPr>
            </w:pPr>
          </w:p>
        </w:tc>
        <w:tc>
          <w:tcPr>
            <w:tcW w:w="9020" w:type="dxa"/>
            <w:noWrap w:val="0"/>
            <w:vAlign w:val="center"/>
          </w:tcPr>
          <w:p w14:paraId="4B79A702">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文件中描述供应商的“公章”是指根据我国对公章的管理规定，用供应商法定主体行为名称制作的印章，除本文件有特殊规定外，供应商的财务章、部门章、分公司章、工会章、合同章、投标专用章、业务专用章及银行的转账章、现金收讫章、现金付讫章等其它形式印章均不能代替公章。</w:t>
            </w:r>
          </w:p>
          <w:p w14:paraId="73FDD43E">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2、本文件中描述供应商的“签字”是指供应商的法定代表人或被授权人亲自在文件规定签署处亲笔写上个人的名字的行为，私章、签字章、电子签名、印鉴、影印等其它形式均不能代替亲笔签字。</w:t>
            </w:r>
          </w:p>
        </w:tc>
      </w:tr>
      <w:tr w14:paraId="6523D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697C8641">
            <w:pPr>
              <w:pStyle w:val="16"/>
              <w:numPr>
                <w:ilvl w:val="0"/>
                <w:numId w:val="1"/>
              </w:numPr>
              <w:spacing w:line="360" w:lineRule="auto"/>
              <w:jc w:val="center"/>
              <w:rPr>
                <w:rFonts w:hint="eastAsia" w:ascii="宋体" w:hAnsi="宋体" w:eastAsia="宋体" w:cs="宋体"/>
                <w:color w:val="auto"/>
                <w:highlight w:val="none"/>
              </w:rPr>
            </w:pPr>
          </w:p>
        </w:tc>
        <w:tc>
          <w:tcPr>
            <w:tcW w:w="9020" w:type="dxa"/>
            <w:noWrap w:val="0"/>
            <w:vAlign w:val="center"/>
          </w:tcPr>
          <w:p w14:paraId="6B968DAB">
            <w:pPr>
              <w:autoSpaceDE w:val="0"/>
              <w:autoSpaceDN w:val="0"/>
              <w:snapToGrid w:val="0"/>
              <w:spacing w:line="360" w:lineRule="auto"/>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本磋商文件中要求“原件备查”的材料，供应商必须于磋商当天携带好原件，若磋商小组通知原件核查，需在1小时内提供，否则按此项材料无效处理。若发现供应商提供虚假材料应标，作无效响应处理。</w:t>
            </w:r>
          </w:p>
        </w:tc>
      </w:tr>
      <w:tr w14:paraId="03B38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noWrap w:val="0"/>
            <w:vAlign w:val="center"/>
          </w:tcPr>
          <w:p w14:paraId="2BCC8DB6">
            <w:pPr>
              <w:pStyle w:val="16"/>
              <w:numPr>
                <w:ilvl w:val="0"/>
                <w:numId w:val="1"/>
              </w:numPr>
              <w:spacing w:line="360" w:lineRule="auto"/>
              <w:jc w:val="center"/>
              <w:rPr>
                <w:rFonts w:hint="eastAsia" w:ascii="宋体" w:hAnsi="宋体" w:eastAsia="宋体" w:cs="宋体"/>
                <w:color w:val="auto"/>
                <w:highlight w:val="none"/>
              </w:rPr>
            </w:pPr>
          </w:p>
        </w:tc>
        <w:tc>
          <w:tcPr>
            <w:tcW w:w="9020" w:type="dxa"/>
            <w:noWrap w:val="0"/>
            <w:vAlign w:val="center"/>
          </w:tcPr>
          <w:p w14:paraId="59967E01">
            <w:pPr>
              <w:pStyle w:val="16"/>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本采购文件的最终解释权归采购人所有。</w:t>
            </w:r>
          </w:p>
        </w:tc>
      </w:tr>
    </w:tbl>
    <w:p w14:paraId="63F28EC9">
      <w:pPr>
        <w:spacing w:line="360" w:lineRule="auto"/>
        <w:jc w:val="both"/>
        <w:rPr>
          <w:rFonts w:hint="eastAsia" w:ascii="宋体" w:hAnsi="宋体" w:eastAsia="宋体" w:cs="宋体"/>
          <w:b/>
          <w:color w:val="auto"/>
          <w:sz w:val="32"/>
          <w:szCs w:val="32"/>
          <w:highlight w:val="none"/>
        </w:rPr>
      </w:pPr>
    </w:p>
    <w:p w14:paraId="2817EEE6">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磋商供应商须知</w:t>
      </w:r>
    </w:p>
    <w:p w14:paraId="237A57B9">
      <w:pPr>
        <w:keepNext w:val="0"/>
        <w:keepLines w:val="0"/>
        <w:pageBreakBefore w:val="0"/>
        <w:kinsoku/>
        <w:overflowPunct/>
        <w:topLinePunct w:val="0"/>
        <w:autoSpaceDE/>
        <w:autoSpaceDN/>
        <w:bidi w:val="0"/>
        <w:adjustRightInd/>
        <w:spacing w:line="500" w:lineRule="exact"/>
        <w:ind w:firstLine="422" w:firstLineChars="200"/>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Cs w:val="21"/>
          <w:highlight w:val="none"/>
        </w:rPr>
        <w:t>一、总　则</w:t>
      </w:r>
    </w:p>
    <w:p w14:paraId="0F1FF825">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 适用范围</w:t>
      </w:r>
    </w:p>
    <w:p w14:paraId="08535EF4">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本文件仅适用于本文件中所叙述的服务类采购项目。</w:t>
      </w:r>
    </w:p>
    <w:p w14:paraId="36C533A2">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 定义</w:t>
      </w:r>
    </w:p>
    <w:p w14:paraId="03125057">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2.1“采购人”是指：</w:t>
      </w:r>
      <w:r>
        <w:rPr>
          <w:rFonts w:hint="eastAsia" w:ascii="宋体" w:hAnsi="宋体" w:eastAsia="宋体" w:cs="宋体"/>
          <w:color w:val="auto"/>
          <w:szCs w:val="21"/>
          <w:highlight w:val="none"/>
          <w:lang w:eastAsia="zh-CN"/>
        </w:rPr>
        <w:t>南宁市朱槿商业保理有限公司</w:t>
      </w:r>
      <w:r>
        <w:rPr>
          <w:rFonts w:hint="eastAsia" w:ascii="宋体" w:hAnsi="宋体" w:eastAsia="宋体" w:cs="宋体"/>
          <w:color w:val="auto"/>
          <w:szCs w:val="21"/>
          <w:highlight w:val="none"/>
        </w:rPr>
        <w:t>。</w:t>
      </w:r>
    </w:p>
    <w:p w14:paraId="24D98614">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2.2“采购代理机构”是指：</w:t>
      </w:r>
      <w:r>
        <w:rPr>
          <w:rFonts w:hint="eastAsia" w:ascii="宋体" w:hAnsi="宋体" w:eastAsia="宋体" w:cs="宋体"/>
          <w:color w:val="auto"/>
          <w:highlight w:val="none"/>
        </w:rPr>
        <w:t>广西国建项目管理有限公司。</w:t>
      </w:r>
    </w:p>
    <w:p w14:paraId="1E53DB8F">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2.3“磋商供应商”是指响应本文件要求，参加磋商的法人或者其他组织和自然人。如果该供应商在本次磋商中成交,即成为“成交供应商”。</w:t>
      </w:r>
    </w:p>
    <w:p w14:paraId="60347A26">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2.4“货物”是指各种形态和种类的物品，包括原材料、燃料、设备、产品等。</w:t>
      </w:r>
    </w:p>
    <w:p w14:paraId="2EABF6DE">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2.5“服务”是指除货物和工程以外的其他采购对象。</w:t>
      </w:r>
    </w:p>
    <w:p w14:paraId="7EC4C54F">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2.6“竞争性磋商响应文件”是指：供应商根据本文件要求，编制包含报价、技术和服务等所有内容的文件。</w:t>
      </w:r>
    </w:p>
    <w:p w14:paraId="1A789DA8">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 磋商供应商的基本条件：详见须知前附表。</w:t>
      </w:r>
    </w:p>
    <w:p w14:paraId="5AD8DB66">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 磋商费用、代理服务费</w:t>
      </w:r>
    </w:p>
    <w:p w14:paraId="176F9AE1">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4.1磋商供应商应自行承担所有与编写和提交竞争性磋商响应文件有关的费用，不论磋商结果如何，采购人和</w:t>
      </w:r>
      <w:r>
        <w:rPr>
          <w:rFonts w:hint="eastAsia" w:ascii="宋体" w:hAnsi="宋体" w:eastAsia="宋体" w:cs="宋体"/>
          <w:color w:val="auto"/>
          <w:highlight w:val="none"/>
        </w:rPr>
        <w:t>广西国建项目管理有限公司</w:t>
      </w:r>
      <w:r>
        <w:rPr>
          <w:rFonts w:hint="eastAsia" w:ascii="宋体" w:hAnsi="宋体" w:eastAsia="宋体" w:cs="宋体"/>
          <w:color w:val="auto"/>
          <w:szCs w:val="21"/>
          <w:highlight w:val="none"/>
        </w:rPr>
        <w:t>在任何情况下无义务和责任承担此类费用。</w:t>
      </w:r>
    </w:p>
    <w:p w14:paraId="1024ACDD">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4.2本项目的代理服务费按须知前附表的规定执行，由成交供应商在</w:t>
      </w:r>
      <w:r>
        <w:rPr>
          <w:rFonts w:hint="eastAsia" w:ascii="宋体" w:hAnsi="宋体" w:eastAsia="宋体" w:cs="宋体"/>
          <w:color w:val="auto"/>
          <w:highlight w:val="none"/>
        </w:rPr>
        <w:t>签订合同前</w:t>
      </w:r>
      <w:r>
        <w:rPr>
          <w:rFonts w:hint="eastAsia" w:ascii="宋体" w:hAnsi="宋体" w:eastAsia="宋体" w:cs="宋体"/>
          <w:color w:val="auto"/>
          <w:szCs w:val="21"/>
          <w:highlight w:val="none"/>
        </w:rPr>
        <w:t>，一次性向采购代理机构支付。</w:t>
      </w:r>
    </w:p>
    <w:p w14:paraId="38572F60">
      <w:pPr>
        <w:keepNext w:val="0"/>
        <w:keepLines w:val="0"/>
        <w:pageBreakBefore w:val="0"/>
        <w:kinsoku/>
        <w:overflowPunct/>
        <w:topLinePunct w:val="0"/>
        <w:autoSpaceDE/>
        <w:autoSpaceDN/>
        <w:bidi w:val="0"/>
        <w:adjustRightInd/>
        <w:spacing w:line="500" w:lineRule="exact"/>
        <w:ind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bCs/>
          <w:color w:val="auto"/>
          <w:highlight w:val="none"/>
        </w:rPr>
        <w:t xml:space="preserve">5. </w:t>
      </w:r>
      <w:r>
        <w:rPr>
          <w:rFonts w:hint="eastAsia" w:ascii="宋体" w:hAnsi="宋体" w:eastAsia="宋体" w:cs="宋体"/>
          <w:b/>
          <w:color w:val="auto"/>
          <w:szCs w:val="21"/>
          <w:highlight w:val="none"/>
        </w:rPr>
        <w:t>竞争性</w:t>
      </w:r>
      <w:r>
        <w:rPr>
          <w:rFonts w:hint="eastAsia" w:ascii="宋体" w:hAnsi="宋体" w:eastAsia="宋体" w:cs="宋体"/>
          <w:b/>
          <w:color w:val="auto"/>
          <w:highlight w:val="none"/>
        </w:rPr>
        <w:t>磋商文件的澄清和修改：</w:t>
      </w:r>
    </w:p>
    <w:p w14:paraId="74DA9A82">
      <w:pPr>
        <w:keepNext w:val="0"/>
        <w:keepLines w:val="0"/>
        <w:pageBreakBefore w:val="0"/>
        <w:widowControl/>
        <w:kinsoku/>
        <w:wordWrap w:val="0"/>
        <w:overflowPunct/>
        <w:topLinePunct w:val="0"/>
        <w:autoSpaceDE/>
        <w:autoSpaceDN/>
        <w:bidi w:val="0"/>
        <w:adjustRightInd/>
        <w:spacing w:line="500" w:lineRule="exact"/>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5.1供应商应认真阅读磋商文件的采购需求，如发现需求中有误或要求不合理的，供应商必须在提交首次响应文件截止之日前，以书面形式向采购人、采购代理机构提出，</w:t>
      </w:r>
      <w:r>
        <w:rPr>
          <w:rFonts w:hint="eastAsia" w:ascii="宋体" w:hAnsi="宋体" w:eastAsia="宋体" w:cs="宋体"/>
          <w:color w:val="auto"/>
          <w:highlight w:val="none"/>
        </w:rPr>
        <w:t>供应商在法定质疑期内必须一次性提出针对同一采购程序环节的质疑</w:t>
      </w:r>
      <w:r>
        <w:rPr>
          <w:rFonts w:hint="eastAsia" w:ascii="宋体" w:hAnsi="宋体" w:eastAsia="宋体" w:cs="宋体"/>
          <w:color w:val="auto"/>
          <w:szCs w:val="21"/>
          <w:highlight w:val="none"/>
        </w:rPr>
        <w:t>。</w:t>
      </w:r>
    </w:p>
    <w:p w14:paraId="558EA694">
      <w:pPr>
        <w:keepNext w:val="0"/>
        <w:keepLines w:val="0"/>
        <w:pageBreakBefore w:val="0"/>
        <w:widowControl/>
        <w:kinsoku/>
        <w:wordWrap w:val="0"/>
        <w:overflowPunct/>
        <w:topLinePunct w:val="0"/>
        <w:autoSpaceDE/>
        <w:autoSpaceDN/>
        <w:bidi w:val="0"/>
        <w:adjustRightInd/>
        <w:spacing w:line="500" w:lineRule="exact"/>
        <w:ind w:firstLine="42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5.2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应当在提交首次响应文件截止时间5日前，以书面形式通知所有接收磋商文件的供应商，不足5日的，应当顺延提交首次响应文件截止之日。</w:t>
      </w:r>
    </w:p>
    <w:p w14:paraId="39A11AEA">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0"/>
          <w:highlight w:val="none"/>
        </w:rPr>
        <w:t>5.3磋商</w:t>
      </w:r>
      <w:r>
        <w:rPr>
          <w:rFonts w:hint="eastAsia" w:ascii="宋体" w:hAnsi="宋体" w:eastAsia="宋体" w:cs="宋体"/>
          <w:color w:val="auto"/>
          <w:highlight w:val="none"/>
        </w:rPr>
        <w:t>供应商接电话通知后到采购代理机构处领取以上澄清答复（或补充通知、更改通知等），或在网上查询，如在电话通知后24小时内不上门领取的，则视为已在网上查询收到。该澄清或修改的内容为竞争性磋商文件的组成部分。磋商供应商在每一次收到澄清答复或补充通知后应立即以书面形式通知采购代理机构，确认已收到该澄清答复或补充通知。否则，由此造成的一切后果由磋商供应商负责。（电话通知时以磋商供应商购买竞争性磋商文件所留电话，如磋商供应商所留电话有误或打不通等造成的一切后果由磋商供应商负责）</w:t>
      </w:r>
    </w:p>
    <w:p w14:paraId="0FF16785">
      <w:pPr>
        <w:pStyle w:val="8"/>
        <w:keepNext w:val="0"/>
        <w:keepLines w:val="0"/>
        <w:pageBreakBefore w:val="0"/>
        <w:kinsoku/>
        <w:overflowPunct/>
        <w:topLinePunct w:val="0"/>
        <w:autoSpaceDE/>
        <w:autoSpaceDN/>
        <w:bidi w:val="0"/>
        <w:adjustRightInd/>
        <w:snapToGrid w:val="0"/>
        <w:spacing w:line="5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6.联合体竞标</w:t>
      </w:r>
    </w:p>
    <w:p w14:paraId="1B757BDC">
      <w:pPr>
        <w:keepNext w:val="0"/>
        <w:keepLines w:val="0"/>
        <w:pageBreakBefore w:val="0"/>
        <w:widowControl/>
        <w:kinsoku/>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kern w:val="0"/>
          <w:sz w:val="24"/>
          <w:highlight w:val="none"/>
        </w:rPr>
      </w:pPr>
      <w:r>
        <w:rPr>
          <w:rFonts w:hint="eastAsia" w:ascii="宋体" w:hAnsi="宋体" w:eastAsia="宋体" w:cs="宋体"/>
          <w:color w:val="auto"/>
          <w:highlight w:val="none"/>
        </w:rPr>
        <w:t>6.1本项目明确不接受联合体形式竞标，本采购文件所有相关联合体要求及格式文件均不适用。竞标人以联合体形式参加竞标的，竞标无效。</w:t>
      </w:r>
      <w:r>
        <w:rPr>
          <w:rFonts w:hint="eastAsia" w:ascii="宋体" w:hAnsi="宋体" w:eastAsia="宋体" w:cs="宋体"/>
          <w:color w:val="auto"/>
          <w:kern w:val="0"/>
          <w:sz w:val="24"/>
          <w:highlight w:val="none"/>
        </w:rPr>
        <w:t xml:space="preserve"> </w:t>
      </w:r>
    </w:p>
    <w:p w14:paraId="7A6275C4">
      <w:pPr>
        <w:keepNext w:val="0"/>
        <w:keepLines w:val="0"/>
        <w:pageBreakBefore w:val="0"/>
        <w:kinsoku/>
        <w:overflowPunct/>
        <w:topLinePunct w:val="0"/>
        <w:autoSpaceDE/>
        <w:autoSpaceDN/>
        <w:bidi w:val="0"/>
        <w:adjustRightInd/>
        <w:spacing w:line="50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二、竞争性磋商响应文件的编制</w:t>
      </w:r>
    </w:p>
    <w:p w14:paraId="247191CF">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 竞争性磋商响应文件编制基本要求</w:t>
      </w:r>
    </w:p>
    <w:p w14:paraId="256947E2">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7.1磋商供应商对竞争性磋商响应文件的编制应按要求装订和封装。</w:t>
      </w:r>
    </w:p>
    <w:p w14:paraId="7D1FFDF3">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7.2磋商供应商提交的竞争性磋商响应文件以及磋商供应商与</w:t>
      </w:r>
      <w:r>
        <w:rPr>
          <w:rFonts w:hint="eastAsia" w:ascii="宋体" w:hAnsi="宋体" w:eastAsia="宋体" w:cs="宋体"/>
          <w:color w:val="auto"/>
          <w:highlight w:val="none"/>
        </w:rPr>
        <w:t>广西国建项目管理有限公司</w:t>
      </w:r>
      <w:r>
        <w:rPr>
          <w:rFonts w:hint="eastAsia" w:ascii="宋体" w:hAnsi="宋体" w:eastAsia="宋体" w:cs="宋体"/>
          <w:color w:val="auto"/>
          <w:szCs w:val="21"/>
          <w:highlight w:val="none"/>
        </w:rPr>
        <w:t>和采购人就有关磋商的所有来往函电均应使用中文。磋商供应商提交的支持文件和印刷的文献可以使用别的语言，但其相应内容必须附有中文翻译文本，在解释竞争性磋商响应文件时以翻译文本为主。</w:t>
      </w:r>
    </w:p>
    <w:p w14:paraId="33C510F7">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7.3除技术要求中另有规定外，本文件所要求使用的计量单位均应采用国家法定计量单位。</w:t>
      </w:r>
    </w:p>
    <w:p w14:paraId="61321C11">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7.4磋商供应商应认真阅读、并充分理解本文件的全部内容（包括所有的</w:t>
      </w:r>
      <w:r>
        <w:rPr>
          <w:rFonts w:hint="eastAsia" w:ascii="宋体" w:hAnsi="宋体" w:eastAsia="宋体" w:cs="宋体"/>
          <w:color w:val="auto"/>
          <w:highlight w:val="none"/>
        </w:rPr>
        <w:t>澄清、</w:t>
      </w:r>
      <w:r>
        <w:rPr>
          <w:rFonts w:hint="eastAsia" w:ascii="宋体" w:hAnsi="宋体" w:eastAsia="宋体" w:cs="宋体"/>
          <w:color w:val="auto"/>
          <w:szCs w:val="21"/>
          <w:highlight w:val="none"/>
        </w:rPr>
        <w:t>更改、补充、答疑等内容），承诺并履行本文件中各项条款规定及要求。</w:t>
      </w:r>
    </w:p>
    <w:p w14:paraId="5F5AFD8A">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7.5竞争性磋商响应文件必须按本文件的全部内容，包括所有的</w:t>
      </w:r>
      <w:r>
        <w:rPr>
          <w:rFonts w:hint="eastAsia" w:ascii="宋体" w:hAnsi="宋体" w:eastAsia="宋体" w:cs="宋体"/>
          <w:color w:val="auto"/>
          <w:highlight w:val="none"/>
        </w:rPr>
        <w:t>澄清、</w:t>
      </w:r>
      <w:r>
        <w:rPr>
          <w:rFonts w:hint="eastAsia" w:ascii="宋体" w:hAnsi="宋体" w:eastAsia="宋体" w:cs="宋体"/>
          <w:color w:val="auto"/>
          <w:szCs w:val="21"/>
          <w:highlight w:val="none"/>
        </w:rPr>
        <w:t>更改、补充、答疑等内容及附件进行编制。</w:t>
      </w:r>
    </w:p>
    <w:p w14:paraId="7F71ABCB">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7.6如因磋商供应商只填写和提供了本文件要求的部分内容和附件，而给磋商小组评审造成困难，其可能导致的结果和责任由磋商供应商自行承担。</w:t>
      </w:r>
    </w:p>
    <w:p w14:paraId="5B18304F">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7.7竞争性磋商响应文件的组成：竞争性磋商响应文件应由价格文件和商务技术文件两个部分组成（要求装订成一本）。</w:t>
      </w:r>
    </w:p>
    <w:p w14:paraId="28FFECDE">
      <w:pPr>
        <w:keepNext w:val="0"/>
        <w:keepLines w:val="0"/>
        <w:pageBreakBefore w:val="0"/>
        <w:kinsoku/>
        <w:overflowPunct/>
        <w:topLinePunct w:val="0"/>
        <w:autoSpaceDE/>
        <w:autoSpaceDN/>
        <w:bidi w:val="0"/>
        <w:adjustRightInd/>
        <w:spacing w:line="50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7.7.1第一部分：价格文件</w:t>
      </w:r>
    </w:p>
    <w:p w14:paraId="55E9B896">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1）报价表；（附件一）</w:t>
      </w:r>
      <w:r>
        <w:rPr>
          <w:rFonts w:hint="eastAsia" w:ascii="宋体" w:hAnsi="宋体" w:eastAsia="宋体" w:cs="宋体"/>
          <w:b/>
          <w:color w:val="auto"/>
          <w:szCs w:val="21"/>
          <w:highlight w:val="none"/>
        </w:rPr>
        <w:t>[必须提供]</w:t>
      </w:r>
    </w:p>
    <w:p w14:paraId="0D565ECD">
      <w:pPr>
        <w:keepNext w:val="0"/>
        <w:keepLines w:val="0"/>
        <w:pageBreakBefore w:val="0"/>
        <w:kinsoku/>
        <w:overflowPunct/>
        <w:topLinePunct w:val="0"/>
        <w:autoSpaceDE/>
        <w:autoSpaceDN/>
        <w:bidi w:val="0"/>
        <w:adjustRightInd/>
        <w:spacing w:line="500" w:lineRule="exact"/>
        <w:ind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7.7.2 第二部分：商务技术文件</w:t>
      </w:r>
      <w:r>
        <w:rPr>
          <w:rFonts w:hint="eastAsia" w:ascii="宋体" w:hAnsi="宋体" w:eastAsia="宋体" w:cs="宋体"/>
          <w:color w:val="auto"/>
          <w:szCs w:val="21"/>
          <w:highlight w:val="none"/>
        </w:rPr>
        <w:t>（以下文件要求必须提供的文件应加盖公章按要求提供，否则竞标无效。）</w:t>
      </w:r>
    </w:p>
    <w:p w14:paraId="74754251">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1）磋商书、磋商声明书及无围标串标行为的承诺函；（附件二）</w:t>
      </w:r>
      <w:r>
        <w:rPr>
          <w:rFonts w:hint="eastAsia" w:ascii="宋体" w:hAnsi="宋体" w:eastAsia="宋体" w:cs="宋体"/>
          <w:b/>
          <w:color w:val="auto"/>
          <w:szCs w:val="21"/>
          <w:highlight w:val="none"/>
        </w:rPr>
        <w:t>[必须提供]</w:t>
      </w:r>
    </w:p>
    <w:p w14:paraId="0A17CFCB">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2）商务、技术（服务）响应、偏离情况说明表；（附件三）</w:t>
      </w:r>
      <w:r>
        <w:rPr>
          <w:rFonts w:hint="eastAsia" w:ascii="宋体" w:hAnsi="宋体" w:eastAsia="宋体" w:cs="宋体"/>
          <w:b/>
          <w:color w:val="auto"/>
          <w:szCs w:val="21"/>
          <w:highlight w:val="none"/>
        </w:rPr>
        <w:t>[必须提供]</w:t>
      </w:r>
    </w:p>
    <w:p w14:paraId="00209328">
      <w:pPr>
        <w:keepNext w:val="0"/>
        <w:keepLines w:val="0"/>
        <w:pageBreakBefore w:val="0"/>
        <w:kinsoku/>
        <w:overflowPunct/>
        <w:topLinePunct w:val="0"/>
        <w:autoSpaceDE/>
        <w:autoSpaceDN/>
        <w:bidi w:val="0"/>
        <w:adjustRightInd/>
        <w:snapToGrid w:val="0"/>
        <w:spacing w:line="500" w:lineRule="exact"/>
        <w:ind w:firstLine="411" w:firstLineChars="196"/>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3）法定代表人身份证正、反面复印件；</w:t>
      </w:r>
      <w:r>
        <w:rPr>
          <w:rFonts w:hint="eastAsia" w:ascii="宋体" w:hAnsi="宋体" w:eastAsia="宋体" w:cs="宋体"/>
          <w:b/>
          <w:color w:val="auto"/>
          <w:szCs w:val="21"/>
          <w:highlight w:val="none"/>
        </w:rPr>
        <w:t>[必须提供]</w:t>
      </w:r>
      <w:r>
        <w:rPr>
          <w:rFonts w:hint="eastAsia" w:ascii="宋体" w:hAnsi="宋体" w:eastAsia="宋体" w:cs="宋体"/>
          <w:color w:val="auto"/>
          <w:szCs w:val="21"/>
          <w:highlight w:val="none"/>
        </w:rPr>
        <w:t xml:space="preserve"> </w:t>
      </w:r>
    </w:p>
    <w:p w14:paraId="0C3AD7A6">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4）法定代表人授权委托书原件</w:t>
      </w:r>
      <w:r>
        <w:rPr>
          <w:rFonts w:hint="eastAsia" w:ascii="宋体" w:hAnsi="宋体" w:eastAsia="宋体" w:cs="宋体"/>
          <w:color w:val="auto"/>
          <w:highlight w:val="none"/>
        </w:rPr>
        <w:t>和委托代理人身份证正、反面复印件</w:t>
      </w:r>
      <w:r>
        <w:rPr>
          <w:rFonts w:hint="eastAsia" w:ascii="宋体" w:hAnsi="宋体" w:eastAsia="宋体" w:cs="宋体"/>
          <w:color w:val="auto"/>
          <w:szCs w:val="21"/>
          <w:highlight w:val="none"/>
        </w:rPr>
        <w:t>；（附件四）</w:t>
      </w:r>
      <w:r>
        <w:rPr>
          <w:rFonts w:hint="eastAsia" w:ascii="宋体" w:hAnsi="宋体" w:eastAsia="宋体" w:cs="宋体"/>
          <w:b/>
          <w:color w:val="auto"/>
          <w:highlight w:val="none"/>
        </w:rPr>
        <w:t xml:space="preserve"> [委托代理时</w:t>
      </w:r>
      <w:r>
        <w:rPr>
          <w:rFonts w:hint="eastAsia" w:ascii="宋体" w:hAnsi="宋体" w:eastAsia="宋体" w:cs="宋体"/>
          <w:b/>
          <w:bCs/>
          <w:color w:val="auto"/>
          <w:highlight w:val="none"/>
        </w:rPr>
        <w:t>必须提供</w:t>
      </w:r>
      <w:r>
        <w:rPr>
          <w:rFonts w:hint="eastAsia" w:ascii="宋体" w:hAnsi="宋体" w:eastAsia="宋体" w:cs="宋体"/>
          <w:b/>
          <w:color w:val="auto"/>
          <w:highlight w:val="none"/>
        </w:rPr>
        <w:t>]</w:t>
      </w:r>
      <w:r>
        <w:rPr>
          <w:rFonts w:hint="eastAsia" w:ascii="宋体" w:hAnsi="宋体" w:eastAsia="宋体" w:cs="宋体"/>
          <w:color w:val="auto"/>
          <w:szCs w:val="21"/>
          <w:highlight w:val="none"/>
        </w:rPr>
        <w:t xml:space="preserve">； </w:t>
      </w:r>
    </w:p>
    <w:p w14:paraId="507DFF20">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5）有效的</w:t>
      </w:r>
      <w:r>
        <w:rPr>
          <w:rFonts w:hint="eastAsia" w:ascii="宋体" w:hAnsi="宋体" w:eastAsia="宋体" w:cs="宋体"/>
          <w:color w:val="auto"/>
          <w:szCs w:val="21"/>
          <w:highlight w:val="none"/>
          <w:lang w:val="en-US" w:eastAsia="zh-CN"/>
        </w:rPr>
        <w:t>资格</w:t>
      </w:r>
      <w:r>
        <w:rPr>
          <w:rFonts w:hint="eastAsia" w:ascii="宋体" w:hAnsi="宋体" w:eastAsia="宋体" w:cs="宋体"/>
          <w:color w:val="auto"/>
          <w:szCs w:val="21"/>
          <w:highlight w:val="none"/>
        </w:rPr>
        <w:t>证明文件复印件；</w:t>
      </w:r>
    </w:p>
    <w:p w14:paraId="5BBA25A1">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b/>
          <w:color w:val="auto"/>
          <w:highlight w:val="none"/>
        </w:rPr>
      </w:pPr>
      <w:r>
        <w:rPr>
          <w:rFonts w:hint="eastAsia" w:ascii="宋体" w:hAnsi="宋体" w:eastAsia="宋体" w:cs="宋体"/>
          <w:bCs/>
          <w:color w:val="auto"/>
          <w:highlight w:val="none"/>
        </w:rPr>
        <w:t>①</w:t>
      </w:r>
      <w:r>
        <w:rPr>
          <w:rFonts w:hint="eastAsia" w:ascii="宋体" w:hAnsi="宋体" w:eastAsia="宋体" w:cs="宋体"/>
          <w:color w:val="auto"/>
          <w:highlight w:val="none"/>
        </w:rPr>
        <w:t>磋商供应商有效的“营业执照”（磋商供应商为事业单位的不需要提供“营业执照”，但需提供“事业单位法人证书”）等证明文件复印件；</w:t>
      </w:r>
      <w:r>
        <w:rPr>
          <w:rFonts w:hint="eastAsia" w:ascii="宋体" w:hAnsi="宋体" w:eastAsia="宋体" w:cs="宋体"/>
          <w:b/>
          <w:color w:val="auto"/>
          <w:highlight w:val="none"/>
        </w:rPr>
        <w:t xml:space="preserve">[必须提供，原件备查] </w:t>
      </w:r>
    </w:p>
    <w:p w14:paraId="6DBAF828">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bCs/>
          <w:color w:val="auto"/>
          <w:highlight w:val="none"/>
        </w:rPr>
        <w:t>②</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lang w:val="en-US" w:eastAsia="zh-CN"/>
        </w:rPr>
        <w:t>1</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取得中国证监会《证券市场资信评级业务许可证》</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lang w:val="en-US" w:eastAsia="zh-CN"/>
        </w:rPr>
        <w:t>2</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在中国银行间市场交易商协会备案，具备银行间债券市场信用评级资质</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lang w:val="en-US" w:eastAsia="zh-CN"/>
        </w:rPr>
        <w:t>3</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完成中国人民银行信用评级机构备案，纳入央行公示评级机构名录</w:t>
      </w:r>
      <w:r>
        <w:rPr>
          <w:rFonts w:hint="eastAsia" w:ascii="宋体" w:hAnsi="宋体" w:eastAsia="宋体" w:cs="宋体"/>
          <w:color w:val="auto"/>
          <w:highlight w:val="none"/>
        </w:rPr>
        <w:t>复印件，同时要加盖单位公章；</w:t>
      </w:r>
      <w:r>
        <w:rPr>
          <w:rFonts w:hint="eastAsia" w:ascii="宋体" w:hAnsi="宋体" w:eastAsia="宋体" w:cs="宋体"/>
          <w:b/>
          <w:color w:val="auto"/>
          <w:szCs w:val="21"/>
          <w:highlight w:val="none"/>
        </w:rPr>
        <w:t>[</w:t>
      </w:r>
      <w:r>
        <w:rPr>
          <w:rFonts w:hint="eastAsia" w:ascii="宋体" w:hAnsi="宋体" w:eastAsia="宋体" w:cs="宋体"/>
          <w:b/>
          <w:color w:val="auto"/>
          <w:highlight w:val="none"/>
        </w:rPr>
        <w:t>必须提供，原件备查</w:t>
      </w: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 xml:space="preserve"> </w:t>
      </w:r>
    </w:p>
    <w:p w14:paraId="1BBC4AB7">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③</w:t>
      </w:r>
      <w:r>
        <w:rPr>
          <w:rFonts w:hint="eastAsia" w:ascii="宋体" w:hAnsi="宋体" w:eastAsia="宋体" w:cs="宋体"/>
          <w:color w:val="auto"/>
          <w:szCs w:val="21"/>
          <w:highlight w:val="none"/>
        </w:rPr>
        <w:t>财务状况报告（202</w:t>
      </w:r>
      <w:r>
        <w:rPr>
          <w:rFonts w:hint="eastAsia" w:ascii="宋体" w:hAnsi="宋体" w:eastAsia="宋体" w:cs="宋体"/>
          <w:color w:val="auto"/>
          <w:szCs w:val="21"/>
          <w:highlight w:val="none"/>
          <w:lang w:val="en-US" w:eastAsia="zh-CN"/>
        </w:rPr>
        <w:t>4年</w:t>
      </w:r>
      <w:r>
        <w:rPr>
          <w:rFonts w:hint="eastAsia" w:ascii="宋体" w:hAnsi="宋体" w:eastAsia="宋体" w:cs="宋体"/>
          <w:color w:val="auto"/>
          <w:szCs w:val="21"/>
          <w:highlight w:val="none"/>
        </w:rPr>
        <w:t>财务状况报告复印件或</w:t>
      </w:r>
      <w:r>
        <w:rPr>
          <w:rFonts w:hint="eastAsia" w:ascii="宋体" w:hAnsi="宋体" w:eastAsia="宋体" w:cs="宋体"/>
          <w:color w:val="auto"/>
          <w:szCs w:val="21"/>
          <w:highlight w:val="none"/>
          <w:lang w:val="en-US" w:eastAsia="zh-CN"/>
        </w:rPr>
        <w:t>2025年财务状况报告复印件</w:t>
      </w:r>
      <w:r>
        <w:rPr>
          <w:rFonts w:hint="eastAsia" w:ascii="宋体" w:hAnsi="宋体" w:eastAsia="宋体" w:cs="宋体"/>
          <w:color w:val="auto"/>
          <w:szCs w:val="21"/>
          <w:highlight w:val="none"/>
        </w:rPr>
        <w:t>）；[格式自拟，</w:t>
      </w:r>
      <w:r>
        <w:rPr>
          <w:rFonts w:hint="eastAsia" w:ascii="宋体" w:hAnsi="宋体" w:eastAsia="宋体" w:cs="宋体"/>
          <w:b/>
          <w:bCs/>
          <w:color w:val="auto"/>
          <w:szCs w:val="21"/>
          <w:highlight w:val="none"/>
        </w:rPr>
        <w:t>必须提供</w:t>
      </w:r>
      <w:r>
        <w:rPr>
          <w:rFonts w:hint="eastAsia" w:ascii="宋体" w:hAnsi="宋体" w:eastAsia="宋体" w:cs="宋体"/>
          <w:color w:val="auto"/>
          <w:highlight w:val="none"/>
        </w:rPr>
        <w:t>]</w:t>
      </w:r>
      <w:r>
        <w:rPr>
          <w:rFonts w:hint="eastAsia" w:ascii="宋体" w:hAnsi="宋体" w:eastAsia="宋体" w:cs="宋体"/>
          <w:color w:val="auto"/>
          <w:szCs w:val="21"/>
          <w:highlight w:val="none"/>
        </w:rPr>
        <w:t xml:space="preserve"> </w:t>
      </w:r>
    </w:p>
    <w:p w14:paraId="7D0D12BC">
      <w:pPr>
        <w:keepNext w:val="0"/>
        <w:keepLines w:val="0"/>
        <w:pageBreakBefore w:val="0"/>
        <w:kinsoku/>
        <w:overflowPunct/>
        <w:topLinePunct w:val="0"/>
        <w:autoSpaceDE/>
        <w:autoSpaceDN/>
        <w:bidi w:val="0"/>
        <w:adjustRightInd/>
        <w:snapToGrid w:val="0"/>
        <w:spacing w:line="500" w:lineRule="exact"/>
        <w:ind w:firstLine="411" w:firstLineChars="196"/>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④</w:t>
      </w:r>
      <w:r>
        <w:rPr>
          <w:rFonts w:hint="eastAsia" w:ascii="宋体" w:hAnsi="宋体" w:eastAsia="宋体" w:cs="宋体"/>
          <w:color w:val="auto"/>
          <w:szCs w:val="21"/>
          <w:highlight w:val="none"/>
        </w:rPr>
        <w:t>响应文件递交截止之日前半年内</w:t>
      </w:r>
      <w:r>
        <w:rPr>
          <w:rFonts w:hint="eastAsia" w:ascii="宋体" w:hAnsi="宋体" w:cs="宋体"/>
          <w:color w:val="auto"/>
          <w:szCs w:val="21"/>
          <w:highlight w:val="none"/>
          <w:lang w:eastAsia="zh-CN"/>
        </w:rPr>
        <w:t>磋商供应商任意1个月</w:t>
      </w:r>
      <w:r>
        <w:rPr>
          <w:rFonts w:hint="eastAsia" w:ascii="宋体" w:hAnsi="宋体" w:eastAsia="宋体" w:cs="宋体"/>
          <w:color w:val="auto"/>
          <w:szCs w:val="21"/>
          <w:highlight w:val="none"/>
        </w:rPr>
        <w:t>的依法缴纳税费或依法免缴税费的证明复印件；无纳税记录的，应提供由磋商供应商所在地主管税务部门出具的《依法纳税或依法免税证明》复印件；[格式自拟，原件备查] （新成立单位按实际提供）</w:t>
      </w:r>
      <w:r>
        <w:rPr>
          <w:rFonts w:hint="eastAsia" w:ascii="宋体" w:hAnsi="宋体" w:eastAsia="宋体" w:cs="宋体"/>
          <w:b/>
          <w:color w:val="auto"/>
          <w:szCs w:val="21"/>
          <w:highlight w:val="none"/>
        </w:rPr>
        <w:t>[格式自拟，必须提供]</w:t>
      </w:r>
    </w:p>
    <w:p w14:paraId="51A1F896">
      <w:pPr>
        <w:keepNext w:val="0"/>
        <w:keepLines w:val="0"/>
        <w:pageBreakBefore w:val="0"/>
        <w:kinsoku/>
        <w:overflowPunct/>
        <w:topLinePunct w:val="0"/>
        <w:autoSpaceDE/>
        <w:autoSpaceDN/>
        <w:bidi w:val="0"/>
        <w:adjustRightInd/>
        <w:snapToGrid w:val="0"/>
        <w:spacing w:line="500" w:lineRule="exact"/>
        <w:ind w:firstLine="411" w:firstLineChars="196"/>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⑤</w:t>
      </w:r>
      <w:r>
        <w:rPr>
          <w:rFonts w:hint="eastAsia" w:ascii="宋体" w:hAnsi="宋体" w:eastAsia="宋体" w:cs="宋体"/>
          <w:color w:val="auto"/>
          <w:szCs w:val="21"/>
          <w:highlight w:val="none"/>
        </w:rPr>
        <w:t>响应文件递交截止之日前半年内</w:t>
      </w:r>
      <w:r>
        <w:rPr>
          <w:rFonts w:hint="eastAsia" w:ascii="宋体" w:hAnsi="宋体" w:cs="宋体"/>
          <w:color w:val="auto"/>
          <w:szCs w:val="21"/>
          <w:highlight w:val="none"/>
          <w:lang w:eastAsia="zh-CN"/>
        </w:rPr>
        <w:t>磋商供应商任意1个月</w:t>
      </w:r>
      <w:r>
        <w:rPr>
          <w:rFonts w:hint="eastAsia" w:ascii="宋体" w:hAnsi="宋体" w:eastAsia="宋体" w:cs="宋体"/>
          <w:color w:val="auto"/>
          <w:szCs w:val="21"/>
          <w:highlight w:val="none"/>
        </w:rPr>
        <w:t>的依法缴纳社保费的证明复印件</w:t>
      </w:r>
      <w:r>
        <w:rPr>
          <w:rFonts w:hint="eastAsia" w:ascii="宋体" w:hAnsi="宋体" w:eastAsia="宋体" w:cs="宋体"/>
          <w:b/>
          <w:color w:val="auto"/>
          <w:szCs w:val="21"/>
          <w:highlight w:val="none"/>
        </w:rPr>
        <w:t>；</w:t>
      </w:r>
      <w:r>
        <w:rPr>
          <w:rFonts w:hint="eastAsia" w:ascii="宋体" w:hAnsi="宋体" w:eastAsia="宋体" w:cs="宋体"/>
          <w:color w:val="auto"/>
          <w:szCs w:val="21"/>
          <w:highlight w:val="none"/>
        </w:rPr>
        <w:t>无缴费记录的，应提供由磋商供应商所在地社保部门出具的《依法缴纳或依法免缴社保费证明》复印件[格式自拟，原件备查]。</w:t>
      </w:r>
      <w:r>
        <w:rPr>
          <w:rFonts w:hint="eastAsia" w:ascii="宋体" w:hAnsi="宋体" w:eastAsia="宋体" w:cs="宋体"/>
          <w:b/>
          <w:color w:val="auto"/>
          <w:szCs w:val="21"/>
          <w:highlight w:val="none"/>
        </w:rPr>
        <w:t>[格式自拟，必须提供]</w:t>
      </w:r>
      <w:r>
        <w:rPr>
          <w:rFonts w:hint="eastAsia" w:ascii="宋体" w:hAnsi="宋体" w:eastAsia="宋体" w:cs="宋体"/>
          <w:color w:val="auto"/>
          <w:szCs w:val="21"/>
          <w:highlight w:val="none"/>
        </w:rPr>
        <w:t>（新成立单位按实际提供）</w:t>
      </w:r>
    </w:p>
    <w:p w14:paraId="29A251D1">
      <w:pPr>
        <w:keepNext w:val="0"/>
        <w:keepLines w:val="0"/>
        <w:pageBreakBefore w:val="0"/>
        <w:kinsoku/>
        <w:wordWrap w:val="0"/>
        <w:overflowPunct/>
        <w:topLinePunct w:val="0"/>
        <w:autoSpaceDE/>
        <w:autoSpaceDN/>
        <w:bidi w:val="0"/>
        <w:adjustRightInd/>
        <w:snapToGrid w:val="0"/>
        <w:spacing w:line="500" w:lineRule="exact"/>
        <w:ind w:firstLine="411" w:firstLineChars="196"/>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⑥</w:t>
      </w:r>
      <w:r>
        <w:rPr>
          <w:rFonts w:hint="eastAsia" w:ascii="宋体" w:hAnsi="宋体" w:eastAsia="宋体" w:cs="宋体"/>
          <w:color w:val="auto"/>
          <w:kern w:val="0"/>
          <w:szCs w:val="21"/>
          <w:highlight w:val="none"/>
        </w:rPr>
        <w:t>参加采购活动前三年内在经营活动中没有重大违法记录和不良信用记录的书面声明</w:t>
      </w:r>
      <w:r>
        <w:rPr>
          <w:rFonts w:hint="eastAsia" w:ascii="宋体" w:hAnsi="宋体" w:eastAsia="宋体" w:cs="宋体"/>
          <w:color w:val="auto"/>
          <w:kern w:val="0"/>
          <w:sz w:val="24"/>
          <w:highlight w:val="none"/>
        </w:rPr>
        <w:t>；</w:t>
      </w:r>
      <w:r>
        <w:rPr>
          <w:rFonts w:hint="eastAsia" w:ascii="宋体" w:hAnsi="宋体" w:eastAsia="宋体" w:cs="宋体"/>
          <w:b/>
          <w:color w:val="auto"/>
          <w:szCs w:val="21"/>
          <w:highlight w:val="none"/>
        </w:rPr>
        <w:t>[格式自拟，必须提供]</w:t>
      </w:r>
    </w:p>
    <w:p w14:paraId="2D672D33">
      <w:pPr>
        <w:keepNext w:val="0"/>
        <w:keepLines w:val="0"/>
        <w:pageBreakBefore w:val="0"/>
        <w:kinsoku/>
        <w:wordWrap w:val="0"/>
        <w:overflowPunct/>
        <w:topLinePunct w:val="0"/>
        <w:autoSpaceDE/>
        <w:autoSpaceDN/>
        <w:bidi w:val="0"/>
        <w:adjustRightInd/>
        <w:snapToGrid w:val="0"/>
        <w:spacing w:line="500" w:lineRule="exact"/>
        <w:ind w:firstLine="411" w:firstLineChars="196"/>
        <w:jc w:val="left"/>
        <w:textAlignment w:val="auto"/>
        <w:rPr>
          <w:rFonts w:hint="eastAsia" w:ascii="宋体" w:hAnsi="宋体" w:eastAsia="宋体" w:cs="宋体"/>
          <w:b/>
          <w:color w:val="auto"/>
          <w:szCs w:val="21"/>
          <w:highlight w:val="none"/>
        </w:rPr>
      </w:pPr>
      <w:r>
        <w:rPr>
          <w:rFonts w:hint="eastAsia" w:ascii="宋体" w:hAnsi="宋体" w:eastAsia="宋体" w:cs="宋体"/>
          <w:bCs/>
          <w:color w:val="auto"/>
          <w:szCs w:val="21"/>
          <w:highlight w:val="none"/>
          <w:lang w:val="en-US" w:eastAsia="zh-CN"/>
        </w:rPr>
        <w:t>⑦</w:t>
      </w:r>
      <w:r>
        <w:rPr>
          <w:rFonts w:hint="eastAsia" w:ascii="宋体" w:hAnsi="宋体" w:eastAsia="宋体" w:cs="宋体"/>
          <w:bCs/>
          <w:color w:val="auto"/>
          <w:szCs w:val="21"/>
          <w:highlight w:val="none"/>
        </w:rPr>
        <w:t>具</w:t>
      </w:r>
      <w:r>
        <w:rPr>
          <w:rFonts w:hint="eastAsia" w:ascii="宋体" w:hAnsi="宋体" w:eastAsia="宋体" w:cs="宋体"/>
          <w:color w:val="auto"/>
          <w:szCs w:val="21"/>
          <w:highlight w:val="none"/>
        </w:rPr>
        <w:t>备履行合同所必需的设备和专业技术能力的证明材料</w:t>
      </w:r>
      <w:r>
        <w:rPr>
          <w:rFonts w:hint="eastAsia" w:ascii="宋体" w:hAnsi="宋体" w:eastAsia="宋体" w:cs="宋体"/>
          <w:color w:val="auto"/>
          <w:kern w:val="0"/>
          <w:szCs w:val="21"/>
          <w:highlight w:val="none"/>
        </w:rPr>
        <w:t>或书面声明；</w:t>
      </w:r>
      <w:r>
        <w:rPr>
          <w:rFonts w:hint="eastAsia" w:ascii="宋体" w:hAnsi="宋体" w:eastAsia="宋体" w:cs="宋体"/>
          <w:b/>
          <w:color w:val="auto"/>
          <w:szCs w:val="21"/>
          <w:highlight w:val="none"/>
        </w:rPr>
        <w:t>[格式自拟，必须提供]</w:t>
      </w:r>
    </w:p>
    <w:p w14:paraId="460E19CA">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b/>
          <w:color w:val="auto"/>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）本采购项目《采购需求》中要求必须提交的材料；</w:t>
      </w:r>
      <w:r>
        <w:rPr>
          <w:rFonts w:hint="eastAsia" w:ascii="宋体" w:hAnsi="宋体" w:eastAsia="宋体" w:cs="宋体"/>
          <w:b/>
          <w:color w:val="auto"/>
          <w:highlight w:val="none"/>
        </w:rPr>
        <w:t>[如有规定，则必须提供]</w:t>
      </w:r>
    </w:p>
    <w:p w14:paraId="05EA6C01">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b/>
          <w:color w:val="auto"/>
          <w:highlight w:val="none"/>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w:t>
      </w:r>
      <w:bookmarkStart w:id="36" w:name="_Hlk190874919"/>
      <w:r>
        <w:rPr>
          <w:rFonts w:hint="eastAsia" w:ascii="宋体" w:hAnsi="宋体" w:eastAsia="宋体" w:cs="宋体"/>
          <w:color w:val="auto"/>
          <w:szCs w:val="21"/>
          <w:highlight w:val="none"/>
        </w:rPr>
        <w:t>服务方案；</w:t>
      </w:r>
      <w:r>
        <w:rPr>
          <w:rFonts w:hint="eastAsia" w:ascii="宋体" w:hAnsi="宋体" w:eastAsia="宋体" w:cs="宋体"/>
          <w:b/>
          <w:color w:val="auto"/>
          <w:szCs w:val="21"/>
          <w:highlight w:val="none"/>
        </w:rPr>
        <w:t>[格式自拟</w:t>
      </w:r>
      <w:r>
        <w:rPr>
          <w:rFonts w:hint="eastAsia" w:ascii="宋体" w:hAnsi="宋体" w:eastAsia="宋体" w:cs="宋体"/>
          <w:b/>
          <w:color w:val="auto"/>
          <w:highlight w:val="none"/>
        </w:rPr>
        <w:t>]</w:t>
      </w:r>
      <w:bookmarkEnd w:id="36"/>
    </w:p>
    <w:p w14:paraId="350C3D05">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b/>
          <w:color w:val="auto"/>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）服务承诺；</w:t>
      </w:r>
      <w:r>
        <w:rPr>
          <w:rFonts w:hint="eastAsia" w:ascii="宋体" w:hAnsi="宋体" w:eastAsia="宋体" w:cs="宋体"/>
          <w:b/>
          <w:color w:val="auto"/>
          <w:szCs w:val="21"/>
          <w:highlight w:val="none"/>
        </w:rPr>
        <w:t>[格式自拟，必须提供]</w:t>
      </w:r>
    </w:p>
    <w:p w14:paraId="122DB4D8">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）项目实施人员一览表；</w:t>
      </w:r>
    </w:p>
    <w:p w14:paraId="47231B4E">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供应商认为需要</w:t>
      </w:r>
      <w:r>
        <w:rPr>
          <w:rFonts w:hint="eastAsia" w:ascii="宋体" w:hAnsi="宋体" w:eastAsia="宋体" w:cs="宋体"/>
          <w:color w:val="auto"/>
          <w:szCs w:val="21"/>
          <w:highlight w:val="none"/>
        </w:rPr>
        <w:t>提交的</w:t>
      </w:r>
      <w:r>
        <w:rPr>
          <w:rFonts w:hint="eastAsia" w:ascii="宋体" w:hAnsi="宋体" w:eastAsia="宋体" w:cs="宋体"/>
          <w:color w:val="auto"/>
          <w:szCs w:val="21"/>
          <w:highlight w:val="none"/>
          <w:lang w:val="en-US" w:eastAsia="zh-CN"/>
        </w:rPr>
        <w:t>其他</w:t>
      </w:r>
      <w:r>
        <w:rPr>
          <w:rFonts w:hint="eastAsia" w:ascii="宋体" w:hAnsi="宋体" w:eastAsia="宋体" w:cs="宋体"/>
          <w:color w:val="auto"/>
          <w:szCs w:val="21"/>
          <w:highlight w:val="none"/>
        </w:rPr>
        <w:t>材料</w:t>
      </w:r>
      <w:r>
        <w:rPr>
          <w:rFonts w:hint="eastAsia" w:ascii="宋体" w:hAnsi="宋体" w:eastAsia="宋体" w:cs="宋体"/>
          <w:color w:val="auto"/>
          <w:szCs w:val="21"/>
          <w:highlight w:val="none"/>
          <w:lang w:eastAsia="zh-CN"/>
        </w:rPr>
        <w:t>。</w:t>
      </w:r>
    </w:p>
    <w:p w14:paraId="612151B1">
      <w:pPr>
        <w:keepNext w:val="0"/>
        <w:keepLines w:val="0"/>
        <w:pageBreakBefore w:val="0"/>
        <w:kinsoku/>
        <w:overflowPunct/>
        <w:topLinePunct w:val="0"/>
        <w:autoSpaceDE/>
        <w:autoSpaceDN/>
        <w:bidi w:val="0"/>
        <w:adjustRightInd/>
        <w:spacing w:line="50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以上文件均须加盖磋商供应商单位公章；应该有的必须提供，如未提供，磋商小组有权拒绝其响应文件。</w:t>
      </w:r>
    </w:p>
    <w:p w14:paraId="7BB7C833">
      <w:pPr>
        <w:keepNext w:val="0"/>
        <w:keepLines w:val="0"/>
        <w:pageBreakBefore w:val="0"/>
        <w:kinsoku/>
        <w:overflowPunct/>
        <w:topLinePunct w:val="0"/>
        <w:autoSpaceDE/>
        <w:autoSpaceDN/>
        <w:bidi w:val="0"/>
        <w:adjustRightInd/>
        <w:spacing w:line="50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三、报价要求</w:t>
      </w:r>
    </w:p>
    <w:p w14:paraId="50BDB22A">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8.1对于本文件中未列明，而磋商供应商认为必需的费用也需列入总报价。在合同实施时，采购人将不予支付成交供应商没有列入的项目费用，并认为此项目的费用已包括在总报价中。</w:t>
      </w:r>
    </w:p>
    <w:p w14:paraId="690DCDBC">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8.2成交供应商负责本项目所需服务的提供、实施、售后服务等全部工作。</w:t>
      </w:r>
    </w:p>
    <w:p w14:paraId="2CFFC3CD">
      <w:pPr>
        <w:pStyle w:val="8"/>
        <w:keepNext w:val="0"/>
        <w:keepLines w:val="0"/>
        <w:pageBreakBefore w:val="0"/>
        <w:kinsoku/>
        <w:overflowPunct/>
        <w:topLinePunct w:val="0"/>
        <w:autoSpaceDE/>
        <w:autoSpaceDN/>
        <w:bidi w:val="0"/>
        <w:adjustRightInd/>
        <w:spacing w:line="5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8.3磋商供应商应在报价表上标明单价和总价。大写金额和小写金额不一致的，以大写金额为准；总价金额与按单价汇总金额不一致的，以单价金额计算结果为准；单价金额小数点有明显错位的，应以总价为准，并修改单价；对不同文字文本竞争性磋商响应文件的解释发生异议的，以中文文本为准。除上述原因以外，如果因磋商供应商原因引起的报价失误，并在磋商时被接受，其后果由磋商供应商自负。</w:t>
      </w:r>
    </w:p>
    <w:p w14:paraId="6EBE4C5D">
      <w:pPr>
        <w:keepNext w:val="0"/>
        <w:keepLines w:val="0"/>
        <w:pageBreakBefore w:val="0"/>
        <w:kinsoku/>
        <w:overflowPunct/>
        <w:topLinePunct w:val="0"/>
        <w:autoSpaceDE/>
        <w:autoSpaceDN/>
        <w:bidi w:val="0"/>
        <w:adjustRightInd/>
        <w:spacing w:line="5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szCs w:val="21"/>
          <w:highlight w:val="none"/>
        </w:rPr>
        <w:t>8.4</w:t>
      </w:r>
      <w:r>
        <w:rPr>
          <w:rFonts w:hint="eastAsia" w:ascii="宋体" w:hAnsi="宋体" w:eastAsia="宋体" w:cs="宋体"/>
          <w:b/>
          <w:color w:val="auto"/>
          <w:highlight w:val="none"/>
        </w:rPr>
        <w:t>磋商报价：供应商必须就所竞项目的全部内容作完整唯一报价，漏项报价的或有选择的或有条件的报价，其响应文件将视为无效。</w:t>
      </w:r>
    </w:p>
    <w:p w14:paraId="4FC61623">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8.5磋商供应商在报价时应考虑各方面因素、各种风险和自己的承受能力。经磋商小组审核存在严重不合理、低于其企业成本的报价，有可能影响产品质量和不能诚信履约的，其报价将不予接受。</w:t>
      </w:r>
    </w:p>
    <w:p w14:paraId="475CE0BC">
      <w:pPr>
        <w:keepNext w:val="0"/>
        <w:keepLines w:val="0"/>
        <w:pageBreakBefore w:val="0"/>
        <w:kinsoku/>
        <w:overflowPunct/>
        <w:topLinePunct w:val="0"/>
        <w:autoSpaceDE/>
        <w:autoSpaceDN/>
        <w:bidi w:val="0"/>
        <w:adjustRightInd/>
        <w:spacing w:line="50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四、竞争性磋商响应文件有效期</w:t>
      </w:r>
    </w:p>
    <w:p w14:paraId="1C9C0F14">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9.1自竞争性磋商响应文件递交截止日期后60日响应文件应保持有效。有效期不足的竞争性磋商响应文件将被拒绝。</w:t>
      </w:r>
    </w:p>
    <w:p w14:paraId="596E499C">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9.2在特殊情况下，采购代理机构可与磋商供应商协商延长竞争性磋商响应文件的有效期。</w:t>
      </w:r>
    </w:p>
    <w:p w14:paraId="1661DA8B">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9.3未成交的响应文件有效期内均应保持有效。</w:t>
      </w:r>
    </w:p>
    <w:p w14:paraId="0569261D">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9.4成交供应商的响应文件有效期自响应文件提交截止之日起至合同履行完毕止均应保持有效。</w:t>
      </w:r>
    </w:p>
    <w:p w14:paraId="29B97B59">
      <w:pPr>
        <w:keepNext w:val="0"/>
        <w:keepLines w:val="0"/>
        <w:pageBreakBefore w:val="0"/>
        <w:kinsoku/>
        <w:overflowPunct/>
        <w:topLinePunct w:val="0"/>
        <w:autoSpaceDE/>
        <w:autoSpaceDN/>
        <w:bidi w:val="0"/>
        <w:adjustRightInd/>
        <w:spacing w:line="50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五、竞争性磋商响应文件书写及签名、盖章要求</w:t>
      </w:r>
    </w:p>
    <w:p w14:paraId="7D35915C">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10.1竞争性磋商响应文件正本必须用不褪色的墨水书写或打印，修改处应由法定代表人或委托代理人签名和盖公章，否则将会在评审中按无效竞争性磋商响应文件处理。</w:t>
      </w:r>
    </w:p>
    <w:p w14:paraId="64C1D5C5">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10.2字迹潦草、表达不清或未按要求填写的竞争性磋商响应文件可能将被认定为无效的竞争性磋商响应文件。</w:t>
      </w:r>
    </w:p>
    <w:p w14:paraId="13F0429E">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10.3竞争性磋商响应文件应由法定代表人或委托代理人在凡规定签章处逐一签名和盖公章，否则将会在评审中按无效竞争性磋商响应文件处理。</w:t>
      </w:r>
    </w:p>
    <w:p w14:paraId="1A5A7960">
      <w:pPr>
        <w:keepNext w:val="0"/>
        <w:keepLines w:val="0"/>
        <w:pageBreakBefore w:val="0"/>
        <w:kinsoku/>
        <w:overflowPunct/>
        <w:topLinePunct w:val="0"/>
        <w:autoSpaceDE/>
        <w:autoSpaceDN/>
        <w:bidi w:val="0"/>
        <w:adjustRightInd/>
        <w:spacing w:line="50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六、竞争性磋商响应文件的份数、封装、递交和撤回</w:t>
      </w:r>
    </w:p>
    <w:p w14:paraId="6C1724AC">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 竞争性磋商响应文件的份数和封装</w:t>
      </w:r>
    </w:p>
    <w:p w14:paraId="49D99A52">
      <w:pPr>
        <w:pStyle w:val="8"/>
        <w:keepNext w:val="0"/>
        <w:keepLines w:val="0"/>
        <w:pageBreakBefore w:val="0"/>
        <w:kinsoku/>
        <w:overflowPunct/>
        <w:topLinePunct w:val="0"/>
        <w:autoSpaceDE/>
        <w:autoSpaceDN/>
        <w:bidi w:val="0"/>
        <w:adjustRightInd/>
        <w:spacing w:line="5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11.1磋商供应商应将竞争性磋商响应文件中“价格文件”和“商务技术文件”装订成一本（两文件相隔之间用封面标识，封面写明“价格文件”、“商务技术文件”字样）。</w:t>
      </w:r>
    </w:p>
    <w:p w14:paraId="12568B01">
      <w:pPr>
        <w:pStyle w:val="8"/>
        <w:keepNext w:val="0"/>
        <w:keepLines w:val="0"/>
        <w:pageBreakBefore w:val="0"/>
        <w:kinsoku/>
        <w:overflowPunct/>
        <w:topLinePunct w:val="0"/>
        <w:autoSpaceDE/>
        <w:autoSpaceDN/>
        <w:bidi w:val="0"/>
        <w:adjustRightInd/>
        <w:spacing w:line="5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磋商供应商将竞争性磋商响应文件按正、副本分别装订成册，在每个正、副本封面上标明“正本”或“副本”，以及采购项目名称、采购项目编号、</w:t>
      </w:r>
      <w:r>
        <w:rPr>
          <w:rFonts w:hint="eastAsia" w:ascii="宋体" w:hAnsi="宋体" w:eastAsia="宋体" w:cs="宋体"/>
          <w:bCs/>
          <w:color w:val="auto"/>
          <w:highlight w:val="none"/>
        </w:rPr>
        <w:t>所竞分标号（如有）</w:t>
      </w:r>
      <w:r>
        <w:rPr>
          <w:rFonts w:hint="eastAsia" w:ascii="宋体" w:hAnsi="宋体" w:eastAsia="宋体" w:cs="宋体"/>
          <w:color w:val="auto"/>
          <w:highlight w:val="none"/>
        </w:rPr>
        <w:t>、磋商供应商名称等内容。副本可以使用已在指定位置签字盖章的正本的复印件（封面除外），一旦正本和副本不符，以正本为准。</w:t>
      </w:r>
    </w:p>
    <w:p w14:paraId="17A4BB07">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11.2竞争性磋商</w:t>
      </w:r>
      <w:r>
        <w:rPr>
          <w:rFonts w:hint="eastAsia" w:ascii="宋体" w:hAnsi="宋体" w:eastAsia="宋体" w:cs="宋体"/>
          <w:color w:val="auto"/>
          <w:highlight w:val="none"/>
        </w:rPr>
        <w:t>响应文件份数：正本一份，副本四份。供应商在递交响应文件时，同时递交响应文件电子版。</w:t>
      </w:r>
    </w:p>
    <w:p w14:paraId="5C82A710">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1）竞争性磋商</w:t>
      </w:r>
      <w:r>
        <w:rPr>
          <w:rFonts w:hint="eastAsia" w:ascii="宋体" w:hAnsi="宋体" w:eastAsia="宋体" w:cs="宋体"/>
          <w:color w:val="auto"/>
          <w:highlight w:val="none"/>
        </w:rPr>
        <w:t>响应文件电子版形式与份数：盖章后扫描的PDF格式1份。</w:t>
      </w:r>
    </w:p>
    <w:p w14:paraId="032B3757">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2）竞争性磋商</w:t>
      </w:r>
      <w:r>
        <w:rPr>
          <w:rFonts w:hint="eastAsia" w:ascii="宋体" w:hAnsi="宋体" w:eastAsia="宋体" w:cs="宋体"/>
          <w:color w:val="auto"/>
          <w:highlight w:val="none"/>
        </w:rPr>
        <w:t>响应文件电子版密封方式：将响应文件电子版U盘与纸质版响应文件一并装入响应文件袋中。</w:t>
      </w:r>
    </w:p>
    <w:p w14:paraId="031FBBD5">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3）</w:t>
      </w:r>
      <w:r>
        <w:rPr>
          <w:rFonts w:hint="eastAsia" w:ascii="宋体" w:hAnsi="宋体" w:eastAsia="宋体" w:cs="宋体"/>
          <w:b/>
          <w:color w:val="auto"/>
          <w:szCs w:val="21"/>
          <w:highlight w:val="none"/>
        </w:rPr>
        <w:t>磋商供应商必须按竞争性磋商文件要求的顺序自编目录及逐页标注连续页码装订成册，且竞争性磋商响应文件装订位置必须封边，不允许使用活页夹、拉杆夹、夹条等可能导致竞争性磋商响应文件散落或脱页的装订方式，否则将可能被磋商小组视为无效响应文件。</w:t>
      </w:r>
    </w:p>
    <w:p w14:paraId="0E6546DE">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11.3竞标文件袋上应写明：</w:t>
      </w:r>
    </w:p>
    <w:p w14:paraId="0868B63B">
      <w:pPr>
        <w:keepNext w:val="0"/>
        <w:keepLines w:val="0"/>
        <w:pageBreakBefore w:val="0"/>
        <w:kinsoku/>
        <w:overflowPunct/>
        <w:topLinePunct w:val="0"/>
        <w:autoSpaceDE/>
        <w:autoSpaceDN/>
        <w:bidi w:val="0"/>
        <w:adjustRightInd/>
        <w:spacing w:line="500" w:lineRule="exact"/>
        <w:ind w:firstLine="630" w:firstLineChars="3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1）采购代理机构：广西国建项目管理有限公司</w:t>
      </w:r>
    </w:p>
    <w:p w14:paraId="6BA8BE02">
      <w:pPr>
        <w:keepNext w:val="0"/>
        <w:keepLines w:val="0"/>
        <w:pageBreakBefore w:val="0"/>
        <w:kinsoku/>
        <w:overflowPunct/>
        <w:topLinePunct w:val="0"/>
        <w:autoSpaceDE/>
        <w:autoSpaceDN/>
        <w:bidi w:val="0"/>
        <w:adjustRightInd/>
        <w:spacing w:line="500" w:lineRule="exact"/>
        <w:ind w:firstLine="630" w:firstLineChars="300"/>
        <w:textAlignment w:val="auto"/>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2）采购项目名称</w:t>
      </w:r>
      <w:r>
        <w:rPr>
          <w:rFonts w:hint="eastAsia" w:ascii="宋体" w:hAnsi="宋体" w:eastAsia="宋体" w:cs="宋体"/>
          <w:bCs/>
          <w:color w:val="auto"/>
          <w:szCs w:val="21"/>
          <w:highlight w:val="none"/>
        </w:rPr>
        <w:t>：</w:t>
      </w:r>
    </w:p>
    <w:p w14:paraId="2E136E53">
      <w:pPr>
        <w:keepNext w:val="0"/>
        <w:keepLines w:val="0"/>
        <w:pageBreakBefore w:val="0"/>
        <w:kinsoku/>
        <w:overflowPunct/>
        <w:topLinePunct w:val="0"/>
        <w:autoSpaceDE/>
        <w:autoSpaceDN/>
        <w:bidi w:val="0"/>
        <w:adjustRightInd/>
        <w:spacing w:line="500" w:lineRule="exact"/>
        <w:ind w:firstLine="630" w:firstLineChars="300"/>
        <w:textAlignment w:val="auto"/>
        <w:rPr>
          <w:rFonts w:hint="eastAsia" w:ascii="宋体" w:hAnsi="宋体" w:eastAsia="宋体" w:cs="宋体"/>
          <w:bCs/>
          <w:color w:val="auto"/>
          <w:szCs w:val="21"/>
          <w:highlight w:val="none"/>
        </w:rPr>
      </w:pPr>
      <w:r>
        <w:rPr>
          <w:rFonts w:hint="eastAsia" w:ascii="宋体" w:hAnsi="宋体" w:eastAsia="宋体" w:cs="宋体"/>
          <w:bCs/>
          <w:color w:val="auto"/>
          <w:highlight w:val="none"/>
        </w:rPr>
        <w:t>3）</w:t>
      </w:r>
      <w:r>
        <w:rPr>
          <w:rFonts w:hint="eastAsia" w:ascii="宋体" w:hAnsi="宋体" w:eastAsia="宋体" w:cs="宋体"/>
          <w:color w:val="auto"/>
          <w:szCs w:val="21"/>
          <w:highlight w:val="none"/>
        </w:rPr>
        <w:t>采购项目编号</w:t>
      </w:r>
      <w:r>
        <w:rPr>
          <w:rFonts w:hint="eastAsia" w:ascii="宋体" w:hAnsi="宋体" w:eastAsia="宋体" w:cs="宋体"/>
          <w:bCs/>
          <w:color w:val="auto"/>
          <w:szCs w:val="21"/>
          <w:highlight w:val="none"/>
        </w:rPr>
        <w:t>：</w:t>
      </w:r>
    </w:p>
    <w:p w14:paraId="74E692E0">
      <w:pPr>
        <w:keepNext w:val="0"/>
        <w:keepLines w:val="0"/>
        <w:pageBreakBefore w:val="0"/>
        <w:kinsoku/>
        <w:overflowPunct/>
        <w:topLinePunct w:val="0"/>
        <w:autoSpaceDE/>
        <w:autoSpaceDN/>
        <w:bidi w:val="0"/>
        <w:adjustRightInd/>
        <w:spacing w:line="500" w:lineRule="exact"/>
        <w:ind w:firstLine="630" w:firstLineChars="300"/>
        <w:textAlignment w:val="auto"/>
        <w:rPr>
          <w:rFonts w:hint="eastAsia" w:ascii="宋体" w:hAnsi="宋体" w:eastAsia="宋体" w:cs="宋体"/>
          <w:bCs/>
          <w:color w:val="auto"/>
          <w:highlight w:val="none"/>
        </w:rPr>
      </w:pPr>
      <w:r>
        <w:rPr>
          <w:rFonts w:hint="eastAsia" w:ascii="宋体" w:hAnsi="宋体" w:eastAsia="宋体" w:cs="宋体"/>
          <w:color w:val="auto"/>
          <w:szCs w:val="21"/>
          <w:highlight w:val="none"/>
        </w:rPr>
        <w:t>4）</w:t>
      </w:r>
      <w:r>
        <w:rPr>
          <w:rFonts w:hint="eastAsia" w:ascii="宋体" w:hAnsi="宋体" w:eastAsia="宋体" w:cs="宋体"/>
          <w:bCs/>
          <w:color w:val="auto"/>
          <w:highlight w:val="none"/>
        </w:rPr>
        <w:t>所竞分标号（如有）：</w:t>
      </w:r>
    </w:p>
    <w:p w14:paraId="24046E57">
      <w:pPr>
        <w:keepNext w:val="0"/>
        <w:keepLines w:val="0"/>
        <w:pageBreakBefore w:val="0"/>
        <w:kinsoku/>
        <w:overflowPunct/>
        <w:topLinePunct w:val="0"/>
        <w:autoSpaceDE/>
        <w:autoSpaceDN/>
        <w:bidi w:val="0"/>
        <w:adjustRightInd/>
        <w:spacing w:line="500" w:lineRule="exact"/>
        <w:ind w:firstLine="630" w:firstLineChars="3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5）</w:t>
      </w:r>
      <w:r>
        <w:rPr>
          <w:rFonts w:hint="eastAsia" w:ascii="宋体" w:hAnsi="宋体" w:eastAsia="宋体" w:cs="宋体"/>
          <w:color w:val="auto"/>
          <w:szCs w:val="21"/>
          <w:highlight w:val="none"/>
        </w:rPr>
        <w:t>磋商供应商名称</w:t>
      </w:r>
      <w:r>
        <w:rPr>
          <w:rFonts w:hint="eastAsia" w:ascii="宋体" w:hAnsi="宋体" w:eastAsia="宋体" w:cs="宋体"/>
          <w:bCs/>
          <w:color w:val="auto"/>
          <w:szCs w:val="21"/>
          <w:highlight w:val="none"/>
        </w:rPr>
        <w:t>：</w:t>
      </w:r>
    </w:p>
    <w:p w14:paraId="40FA72AD">
      <w:pPr>
        <w:keepNext w:val="0"/>
        <w:keepLines w:val="0"/>
        <w:pageBreakBefore w:val="0"/>
        <w:kinsoku/>
        <w:overflowPunct/>
        <w:topLinePunct w:val="0"/>
        <w:autoSpaceDE/>
        <w:autoSpaceDN/>
        <w:bidi w:val="0"/>
        <w:adjustRightInd/>
        <w:spacing w:line="500" w:lineRule="exact"/>
        <w:ind w:firstLine="630" w:firstLineChars="3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6）（</w:t>
      </w:r>
      <w:r>
        <w:rPr>
          <w:rFonts w:hint="eastAsia" w:ascii="宋体" w:hAnsi="宋体" w:eastAsia="宋体" w:cs="宋体"/>
          <w:color w:val="auto"/>
          <w:highlight w:val="none"/>
        </w:rPr>
        <w:t>××年××月××日××时××分前不得拆开</w:t>
      </w:r>
      <w:r>
        <w:rPr>
          <w:rFonts w:hint="eastAsia" w:ascii="宋体" w:hAnsi="宋体" w:eastAsia="宋体" w:cs="宋体"/>
          <w:bCs/>
          <w:color w:val="auto"/>
          <w:szCs w:val="21"/>
          <w:highlight w:val="none"/>
        </w:rPr>
        <w:t>）</w:t>
      </w:r>
    </w:p>
    <w:p w14:paraId="2683BBE3">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11.4竞争性磋商响应文件的密封以竞标文件袋无明显缝隙露出袋内文件且封口处有密封签章为合格。</w:t>
      </w:r>
    </w:p>
    <w:p w14:paraId="79491C77">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11.5</w:t>
      </w:r>
      <w:r>
        <w:rPr>
          <w:rFonts w:hint="eastAsia" w:ascii="宋体" w:hAnsi="宋体" w:eastAsia="宋体" w:cs="宋体"/>
          <w:b/>
          <w:bCs/>
          <w:color w:val="auto"/>
          <w:szCs w:val="21"/>
          <w:highlight w:val="none"/>
        </w:rPr>
        <w:t>磋商供应商在递交竞争性磋商响应文件时未按本须知要求密封、标记的，采购代理机构有权拒收，拒收所产生的后果由磋商供应商自负。</w:t>
      </w:r>
    </w:p>
    <w:p w14:paraId="1C4D4198">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 竞争性磋商响应文件的递交和撤回</w:t>
      </w:r>
    </w:p>
    <w:p w14:paraId="7FB612F8">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12.1竞争性磋商响应文件应于竞争性磋商文件中规定的时间前递交到指定地点位置。</w:t>
      </w:r>
    </w:p>
    <w:p w14:paraId="3A4B8959">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12.2递交竞争性磋商响应文件的地点：见“供应商须知前附表”。</w:t>
      </w:r>
    </w:p>
    <w:p w14:paraId="78E821BB">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12.3磋商供应商在提交响应文件截止时间前，可以对所提交的响应文件进行补充、修改或者撤回，并书面通知采购人、采购代理机构。补充、修改的内容作为响应文件的组成部分。补充、修改的内容与响应文件不一致的，以补充、修改的内容为准。修改后重新递交的响应文件应当按本竞争性磋商文件的要求签署、盖章和密封。</w:t>
      </w:r>
    </w:p>
    <w:p w14:paraId="76D30484">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13.迟交的竞争性磋商响应文件</w:t>
      </w:r>
    </w:p>
    <w:p w14:paraId="01AE5FE8">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逾期送达的或者未送达指定地点的竞争性磋商响应文件，采购代理机构拒绝接收。</w:t>
      </w:r>
    </w:p>
    <w:p w14:paraId="3E6FA141">
      <w:pPr>
        <w:keepNext w:val="0"/>
        <w:keepLines w:val="0"/>
        <w:pageBreakBefore w:val="0"/>
        <w:kinsoku/>
        <w:overflowPunct/>
        <w:topLinePunct w:val="0"/>
        <w:autoSpaceDE/>
        <w:autoSpaceDN/>
        <w:bidi w:val="0"/>
        <w:adjustRightInd/>
        <w:spacing w:line="50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七、磋商保证金</w:t>
      </w:r>
    </w:p>
    <w:p w14:paraId="6121B418">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14.1供应商须按须知前附表的规定提交磋商保证金。否则，其响应文件将被拒绝。</w:t>
      </w:r>
    </w:p>
    <w:p w14:paraId="5CD5BB72">
      <w:pPr>
        <w:keepNext w:val="0"/>
        <w:keepLines w:val="0"/>
        <w:pageBreakBefore w:val="0"/>
        <w:tabs>
          <w:tab w:val="left" w:pos="975"/>
        </w:tabs>
        <w:kinsoku/>
        <w:overflowPunct/>
        <w:topLinePunct w:val="0"/>
        <w:autoSpaceDE/>
        <w:autoSpaceDN/>
        <w:bidi w:val="0"/>
        <w:adjustRightInd/>
        <w:snapToGrid w:val="0"/>
        <w:spacing w:line="500" w:lineRule="exact"/>
        <w:ind w:firstLine="411" w:firstLineChars="196"/>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14.2磋商保证金按须知前附表的规定退还供应商。</w:t>
      </w:r>
    </w:p>
    <w:p w14:paraId="6D580EA9">
      <w:pPr>
        <w:keepNext w:val="0"/>
        <w:keepLines w:val="0"/>
        <w:pageBreakBefore w:val="0"/>
        <w:tabs>
          <w:tab w:val="left" w:pos="975"/>
        </w:tabs>
        <w:kinsoku/>
        <w:overflowPunct/>
        <w:topLinePunct w:val="0"/>
        <w:autoSpaceDE/>
        <w:autoSpaceDN/>
        <w:bidi w:val="0"/>
        <w:adjustRightInd/>
        <w:snapToGrid w:val="0"/>
        <w:spacing w:line="500" w:lineRule="exact"/>
        <w:ind w:firstLine="413" w:firstLineChars="196"/>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14.3磋商供应商有下列情形之一的，保证金将不予退还：</w:t>
      </w:r>
    </w:p>
    <w:p w14:paraId="3842090D">
      <w:pPr>
        <w:keepNext w:val="0"/>
        <w:keepLines w:val="0"/>
        <w:pageBreakBefore w:val="0"/>
        <w:tabs>
          <w:tab w:val="left" w:pos="975"/>
        </w:tabs>
        <w:kinsoku/>
        <w:overflowPunct/>
        <w:topLinePunct w:val="0"/>
        <w:autoSpaceDE/>
        <w:autoSpaceDN/>
        <w:bidi w:val="0"/>
        <w:adjustRightInd/>
        <w:snapToGrid w:val="0"/>
        <w:spacing w:line="500" w:lineRule="exact"/>
        <w:ind w:firstLine="411" w:firstLineChars="196"/>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1）磋商供应商在提交</w:t>
      </w:r>
      <w:r>
        <w:rPr>
          <w:rFonts w:hint="eastAsia" w:ascii="宋体" w:hAnsi="宋体" w:eastAsia="宋体" w:cs="宋体"/>
          <w:color w:val="auto"/>
          <w:szCs w:val="21"/>
          <w:highlight w:val="none"/>
        </w:rPr>
        <w:t>竞争性磋商</w:t>
      </w:r>
      <w:r>
        <w:rPr>
          <w:rFonts w:hint="eastAsia" w:ascii="宋体" w:hAnsi="宋体" w:eastAsia="宋体" w:cs="宋体"/>
          <w:color w:val="auto"/>
          <w:kern w:val="0"/>
          <w:szCs w:val="21"/>
          <w:highlight w:val="none"/>
        </w:rPr>
        <w:t>响应文件截止时间后撤回</w:t>
      </w:r>
      <w:r>
        <w:rPr>
          <w:rFonts w:hint="eastAsia" w:ascii="宋体" w:hAnsi="宋体" w:eastAsia="宋体" w:cs="宋体"/>
          <w:color w:val="auto"/>
          <w:szCs w:val="21"/>
          <w:highlight w:val="none"/>
        </w:rPr>
        <w:t>竞争性磋商</w:t>
      </w:r>
      <w:r>
        <w:rPr>
          <w:rFonts w:hint="eastAsia" w:ascii="宋体" w:hAnsi="宋体" w:eastAsia="宋体" w:cs="宋体"/>
          <w:color w:val="auto"/>
          <w:kern w:val="0"/>
          <w:szCs w:val="21"/>
          <w:highlight w:val="none"/>
        </w:rPr>
        <w:t>响应文件的；</w:t>
      </w:r>
    </w:p>
    <w:p w14:paraId="1D127706">
      <w:pPr>
        <w:keepNext w:val="0"/>
        <w:keepLines w:val="0"/>
        <w:pageBreakBefore w:val="0"/>
        <w:tabs>
          <w:tab w:val="left" w:pos="975"/>
        </w:tabs>
        <w:kinsoku/>
        <w:overflowPunct/>
        <w:topLinePunct w:val="0"/>
        <w:autoSpaceDE/>
        <w:autoSpaceDN/>
        <w:bidi w:val="0"/>
        <w:adjustRightInd/>
        <w:snapToGrid w:val="0"/>
        <w:spacing w:line="500" w:lineRule="exact"/>
        <w:ind w:firstLine="411" w:firstLineChars="196"/>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2）磋商供应商在</w:t>
      </w:r>
      <w:r>
        <w:rPr>
          <w:rFonts w:hint="eastAsia" w:ascii="宋体" w:hAnsi="宋体" w:eastAsia="宋体" w:cs="宋体"/>
          <w:color w:val="auto"/>
          <w:szCs w:val="21"/>
          <w:highlight w:val="none"/>
        </w:rPr>
        <w:t>竞争性磋商</w:t>
      </w:r>
      <w:r>
        <w:rPr>
          <w:rFonts w:hint="eastAsia" w:ascii="宋体" w:hAnsi="宋体" w:eastAsia="宋体" w:cs="宋体"/>
          <w:color w:val="auto"/>
          <w:kern w:val="0"/>
          <w:szCs w:val="21"/>
          <w:highlight w:val="none"/>
        </w:rPr>
        <w:t>响应文件中提供虚假材料的；</w:t>
      </w:r>
    </w:p>
    <w:p w14:paraId="28B18898">
      <w:pPr>
        <w:keepNext w:val="0"/>
        <w:keepLines w:val="0"/>
        <w:pageBreakBefore w:val="0"/>
        <w:tabs>
          <w:tab w:val="left" w:pos="975"/>
        </w:tabs>
        <w:kinsoku/>
        <w:overflowPunct/>
        <w:topLinePunct w:val="0"/>
        <w:autoSpaceDE/>
        <w:autoSpaceDN/>
        <w:bidi w:val="0"/>
        <w:adjustRightInd/>
        <w:snapToGrid w:val="0"/>
        <w:spacing w:line="500" w:lineRule="exact"/>
        <w:ind w:firstLine="411" w:firstLineChars="196"/>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3）除因不可抗力或</w:t>
      </w:r>
      <w:r>
        <w:rPr>
          <w:rFonts w:hint="eastAsia" w:ascii="宋体" w:hAnsi="宋体" w:eastAsia="宋体" w:cs="宋体"/>
          <w:color w:val="auto"/>
          <w:szCs w:val="21"/>
          <w:highlight w:val="none"/>
        </w:rPr>
        <w:t>竞争性</w:t>
      </w:r>
      <w:r>
        <w:rPr>
          <w:rFonts w:hint="eastAsia" w:ascii="宋体" w:hAnsi="宋体" w:eastAsia="宋体" w:cs="宋体"/>
          <w:color w:val="auto"/>
          <w:kern w:val="0"/>
          <w:szCs w:val="21"/>
          <w:highlight w:val="none"/>
        </w:rPr>
        <w:t>磋商文件认可的情形以外，成交供应商不与采购人签订合同的；</w:t>
      </w:r>
    </w:p>
    <w:p w14:paraId="2364B4EE">
      <w:pPr>
        <w:keepNext w:val="0"/>
        <w:keepLines w:val="0"/>
        <w:pageBreakBefore w:val="0"/>
        <w:tabs>
          <w:tab w:val="left" w:pos="975"/>
        </w:tabs>
        <w:kinsoku/>
        <w:overflowPunct/>
        <w:topLinePunct w:val="0"/>
        <w:autoSpaceDE/>
        <w:autoSpaceDN/>
        <w:bidi w:val="0"/>
        <w:adjustRightInd/>
        <w:snapToGrid w:val="0"/>
        <w:spacing w:line="500" w:lineRule="exact"/>
        <w:ind w:firstLine="411" w:firstLineChars="196"/>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4）磋商供应商与采购人、其他供应商或者采购代理机构恶意串通的。</w:t>
      </w:r>
    </w:p>
    <w:p w14:paraId="21A8B624">
      <w:pPr>
        <w:keepNext w:val="0"/>
        <w:keepLines w:val="0"/>
        <w:pageBreakBefore w:val="0"/>
        <w:tabs>
          <w:tab w:val="left" w:pos="975"/>
        </w:tabs>
        <w:kinsoku/>
        <w:overflowPunct/>
        <w:topLinePunct w:val="0"/>
        <w:autoSpaceDE/>
        <w:autoSpaceDN/>
        <w:bidi w:val="0"/>
        <w:adjustRightInd/>
        <w:snapToGrid w:val="0"/>
        <w:spacing w:line="500" w:lineRule="exact"/>
        <w:ind w:firstLine="411" w:firstLineChars="196"/>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5）法律法规规定的其他情形。</w:t>
      </w:r>
    </w:p>
    <w:p w14:paraId="6B0A74FC">
      <w:pPr>
        <w:keepNext w:val="0"/>
        <w:keepLines w:val="0"/>
        <w:pageBreakBefore w:val="0"/>
        <w:tabs>
          <w:tab w:val="left" w:pos="975"/>
        </w:tabs>
        <w:kinsoku/>
        <w:overflowPunct/>
        <w:topLinePunct w:val="0"/>
        <w:autoSpaceDE/>
        <w:autoSpaceDN/>
        <w:bidi w:val="0"/>
        <w:adjustRightInd/>
        <w:snapToGrid w:val="0"/>
        <w:spacing w:line="500" w:lineRule="exact"/>
        <w:ind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注：</w:t>
      </w:r>
      <w:r>
        <w:rPr>
          <w:rFonts w:hint="eastAsia" w:ascii="宋体" w:hAnsi="宋体" w:eastAsia="宋体" w:cs="宋体"/>
          <w:b/>
          <w:color w:val="auto"/>
          <w:kern w:val="0"/>
          <w:szCs w:val="21"/>
          <w:highlight w:val="none"/>
        </w:rPr>
        <w:t>磋商供应商</w:t>
      </w:r>
      <w:r>
        <w:rPr>
          <w:rFonts w:hint="eastAsia" w:ascii="宋体" w:hAnsi="宋体" w:eastAsia="宋体" w:cs="宋体"/>
          <w:b/>
          <w:color w:val="auto"/>
          <w:highlight w:val="none"/>
        </w:rPr>
        <w:t>已经被推荐为第一成交候选供应商后撤回</w:t>
      </w:r>
      <w:r>
        <w:rPr>
          <w:rFonts w:hint="eastAsia" w:ascii="宋体" w:hAnsi="宋体" w:eastAsia="宋体" w:cs="宋体"/>
          <w:b/>
          <w:color w:val="auto"/>
          <w:szCs w:val="21"/>
          <w:highlight w:val="none"/>
        </w:rPr>
        <w:t>竞争性磋商</w:t>
      </w:r>
      <w:r>
        <w:rPr>
          <w:rFonts w:hint="eastAsia" w:ascii="宋体" w:hAnsi="宋体" w:eastAsia="宋体" w:cs="宋体"/>
          <w:b/>
          <w:color w:val="auto"/>
          <w:kern w:val="0"/>
          <w:szCs w:val="21"/>
          <w:highlight w:val="none"/>
        </w:rPr>
        <w:t>响应文件</w:t>
      </w:r>
      <w:r>
        <w:rPr>
          <w:rFonts w:hint="eastAsia" w:ascii="宋体" w:hAnsi="宋体" w:eastAsia="宋体" w:cs="宋体"/>
          <w:b/>
          <w:color w:val="auto"/>
          <w:highlight w:val="none"/>
        </w:rPr>
        <w:t>或</w:t>
      </w:r>
      <w:r>
        <w:rPr>
          <w:rFonts w:hint="eastAsia" w:ascii="宋体" w:hAnsi="宋体" w:eastAsia="宋体" w:cs="宋体"/>
          <w:b/>
          <w:color w:val="auto"/>
          <w:kern w:val="0"/>
          <w:szCs w:val="21"/>
          <w:highlight w:val="none"/>
        </w:rPr>
        <w:t>拒绝签订采购合同的</w:t>
      </w:r>
      <w:r>
        <w:rPr>
          <w:rFonts w:hint="eastAsia" w:ascii="宋体" w:hAnsi="宋体" w:eastAsia="宋体" w:cs="宋体"/>
          <w:b/>
          <w:color w:val="auto"/>
          <w:highlight w:val="none"/>
        </w:rPr>
        <w:t>，其保证金将不予退还，给采购人造成损失的，还应当赔偿损失，并作为不良行为记录在案。</w:t>
      </w:r>
    </w:p>
    <w:p w14:paraId="0941A211">
      <w:pPr>
        <w:keepNext w:val="0"/>
        <w:keepLines w:val="0"/>
        <w:pageBreakBefore w:val="0"/>
        <w:tabs>
          <w:tab w:val="left" w:pos="975"/>
        </w:tabs>
        <w:kinsoku/>
        <w:overflowPunct/>
        <w:topLinePunct w:val="0"/>
        <w:autoSpaceDE/>
        <w:autoSpaceDN/>
        <w:bidi w:val="0"/>
        <w:adjustRightInd/>
        <w:snapToGrid w:val="0"/>
        <w:spacing w:line="500" w:lineRule="exact"/>
        <w:ind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szCs w:val="21"/>
          <w:highlight w:val="none"/>
        </w:rPr>
        <w:t>八</w:t>
      </w:r>
      <w:r>
        <w:rPr>
          <w:rFonts w:hint="eastAsia" w:ascii="宋体" w:hAnsi="宋体" w:eastAsia="宋体" w:cs="宋体"/>
          <w:b/>
          <w:color w:val="auto"/>
          <w:highlight w:val="none"/>
        </w:rPr>
        <w:t>、磋商程序</w:t>
      </w:r>
      <w:r>
        <w:rPr>
          <w:rFonts w:hint="eastAsia" w:ascii="宋体" w:hAnsi="宋体" w:eastAsia="宋体" w:cs="宋体"/>
          <w:b/>
          <w:color w:val="auto"/>
          <w:szCs w:val="21"/>
          <w:highlight w:val="none"/>
        </w:rPr>
        <w:t>及</w:t>
      </w:r>
      <w:r>
        <w:rPr>
          <w:rFonts w:hint="eastAsia" w:ascii="宋体" w:hAnsi="宋体" w:eastAsia="宋体" w:cs="宋体"/>
          <w:b/>
          <w:color w:val="auto"/>
          <w:highlight w:val="none"/>
        </w:rPr>
        <w:t>评标方法</w:t>
      </w:r>
    </w:p>
    <w:p w14:paraId="16D2EF23">
      <w:pPr>
        <w:keepNext w:val="0"/>
        <w:keepLines w:val="0"/>
        <w:pageBreakBefore w:val="0"/>
        <w:tabs>
          <w:tab w:val="left" w:pos="975"/>
        </w:tabs>
        <w:kinsoku/>
        <w:overflowPunct/>
        <w:topLinePunct w:val="0"/>
        <w:autoSpaceDE/>
        <w:autoSpaceDN/>
        <w:bidi w:val="0"/>
        <w:adjustRightInd/>
        <w:snapToGrid w:val="0"/>
        <w:spacing w:line="500" w:lineRule="exact"/>
        <w:ind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15.竞争性磋商响应文件无效的情形：</w:t>
      </w:r>
    </w:p>
    <w:p w14:paraId="6516045F">
      <w:pPr>
        <w:keepNext w:val="0"/>
        <w:keepLines w:val="0"/>
        <w:pageBreakBefore w:val="0"/>
        <w:tabs>
          <w:tab w:val="left" w:pos="975"/>
        </w:tabs>
        <w:kinsoku/>
        <w:overflowPunct/>
        <w:topLinePunct w:val="0"/>
        <w:autoSpaceDE/>
        <w:autoSpaceDN/>
        <w:bidi w:val="0"/>
        <w:adjustRightInd/>
        <w:snapToGrid w:val="0"/>
        <w:spacing w:line="500" w:lineRule="exact"/>
        <w:ind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15.1未实质性响应竞争性磋商文件的竞争性磋商响应文件按无效处理。</w:t>
      </w:r>
    </w:p>
    <w:p w14:paraId="5D361E51">
      <w:pPr>
        <w:keepNext w:val="0"/>
        <w:keepLines w:val="0"/>
        <w:pageBreakBefore w:val="0"/>
        <w:tabs>
          <w:tab w:val="left" w:pos="975"/>
        </w:tabs>
        <w:kinsoku/>
        <w:overflowPunct/>
        <w:topLinePunct w:val="0"/>
        <w:autoSpaceDE/>
        <w:autoSpaceDN/>
        <w:bidi w:val="0"/>
        <w:adjustRightInd/>
        <w:snapToGrid w:val="0"/>
        <w:spacing w:line="500" w:lineRule="exact"/>
        <w:ind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15.2有下列情形之一的视为供应商相互串通参与磋商活动，竞争性磋商响应文件将被视为无效：</w:t>
      </w:r>
    </w:p>
    <w:p w14:paraId="38FAFAB8">
      <w:pPr>
        <w:keepNext w:val="0"/>
        <w:keepLines w:val="0"/>
        <w:pageBreakBefore w:val="0"/>
        <w:tabs>
          <w:tab w:val="left" w:pos="975"/>
        </w:tabs>
        <w:kinsoku/>
        <w:overflowPunct/>
        <w:topLinePunct w:val="0"/>
        <w:autoSpaceDE/>
        <w:autoSpaceDN/>
        <w:bidi w:val="0"/>
        <w:adjustRightInd/>
        <w:snapToGrid w:val="0"/>
        <w:spacing w:line="500" w:lineRule="exact"/>
        <w:ind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（1）不同供应商的竞争性磋商响应文件由同一单位或者个人编制；或不同供应商报名的IP地址一致的；</w:t>
      </w:r>
    </w:p>
    <w:p w14:paraId="3CE43E38">
      <w:pPr>
        <w:keepNext w:val="0"/>
        <w:keepLines w:val="0"/>
        <w:pageBreakBefore w:val="0"/>
        <w:tabs>
          <w:tab w:val="left" w:pos="975"/>
        </w:tabs>
        <w:kinsoku/>
        <w:overflowPunct/>
        <w:topLinePunct w:val="0"/>
        <w:autoSpaceDE/>
        <w:autoSpaceDN/>
        <w:bidi w:val="0"/>
        <w:adjustRightInd/>
        <w:snapToGrid w:val="0"/>
        <w:spacing w:line="500" w:lineRule="exact"/>
        <w:ind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（2）不同供应商委托同一单位或者个人办理磋商活动事宜；</w:t>
      </w:r>
    </w:p>
    <w:p w14:paraId="5FAC1B4C">
      <w:pPr>
        <w:keepNext w:val="0"/>
        <w:keepLines w:val="0"/>
        <w:pageBreakBefore w:val="0"/>
        <w:tabs>
          <w:tab w:val="left" w:pos="975"/>
        </w:tabs>
        <w:kinsoku/>
        <w:overflowPunct/>
        <w:topLinePunct w:val="0"/>
        <w:autoSpaceDE/>
        <w:autoSpaceDN/>
        <w:bidi w:val="0"/>
        <w:adjustRightInd/>
        <w:snapToGrid w:val="0"/>
        <w:spacing w:line="500" w:lineRule="exact"/>
        <w:ind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（3）不同的供应商的竞争性磋商响应文件载明的项目管理员或者联系人员为同一个人；</w:t>
      </w:r>
    </w:p>
    <w:p w14:paraId="191B9C4A">
      <w:pPr>
        <w:keepNext w:val="0"/>
        <w:keepLines w:val="0"/>
        <w:pageBreakBefore w:val="0"/>
        <w:tabs>
          <w:tab w:val="left" w:pos="975"/>
        </w:tabs>
        <w:kinsoku/>
        <w:overflowPunct/>
        <w:topLinePunct w:val="0"/>
        <w:autoSpaceDE/>
        <w:autoSpaceDN/>
        <w:bidi w:val="0"/>
        <w:adjustRightInd/>
        <w:snapToGrid w:val="0"/>
        <w:spacing w:line="500" w:lineRule="exact"/>
        <w:ind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（4）不同供应商的竞争性磋商响应文件异常一致或磋商报价呈规律性差异；</w:t>
      </w:r>
    </w:p>
    <w:p w14:paraId="73FCE427">
      <w:pPr>
        <w:keepNext w:val="0"/>
        <w:keepLines w:val="0"/>
        <w:pageBreakBefore w:val="0"/>
        <w:tabs>
          <w:tab w:val="left" w:pos="975"/>
        </w:tabs>
        <w:kinsoku/>
        <w:overflowPunct/>
        <w:topLinePunct w:val="0"/>
        <w:autoSpaceDE/>
        <w:autoSpaceDN/>
        <w:bidi w:val="0"/>
        <w:adjustRightInd/>
        <w:snapToGrid w:val="0"/>
        <w:spacing w:line="500" w:lineRule="exact"/>
        <w:ind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（5）不同供应商的竞争性磋商响应文件相互混装；</w:t>
      </w:r>
    </w:p>
    <w:p w14:paraId="47D4B467">
      <w:pPr>
        <w:keepNext w:val="0"/>
        <w:keepLines w:val="0"/>
        <w:pageBreakBefore w:val="0"/>
        <w:tabs>
          <w:tab w:val="left" w:pos="975"/>
        </w:tabs>
        <w:kinsoku/>
        <w:overflowPunct/>
        <w:topLinePunct w:val="0"/>
        <w:autoSpaceDE/>
        <w:autoSpaceDN/>
        <w:bidi w:val="0"/>
        <w:adjustRightInd/>
        <w:snapToGrid w:val="0"/>
        <w:spacing w:line="500" w:lineRule="exact"/>
        <w:ind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（6）不同供应商的保证金从同一单位或者个人账户转出。</w:t>
      </w:r>
    </w:p>
    <w:p w14:paraId="168E4A73">
      <w:pPr>
        <w:keepNext w:val="0"/>
        <w:keepLines w:val="0"/>
        <w:pageBreakBefore w:val="0"/>
        <w:tabs>
          <w:tab w:val="left" w:pos="975"/>
        </w:tabs>
        <w:kinsoku/>
        <w:overflowPunct/>
        <w:topLinePunct w:val="0"/>
        <w:autoSpaceDE/>
        <w:autoSpaceDN/>
        <w:bidi w:val="0"/>
        <w:adjustRightInd/>
        <w:snapToGrid w:val="0"/>
        <w:spacing w:line="500" w:lineRule="exact"/>
        <w:ind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15.3有下列情形之一的视为关联供应商参加同一合同项下采购活动，竞争性磋商响应文件将被视为无效：</w:t>
      </w:r>
    </w:p>
    <w:p w14:paraId="43C7C03E">
      <w:pPr>
        <w:keepNext w:val="0"/>
        <w:keepLines w:val="0"/>
        <w:pageBreakBefore w:val="0"/>
        <w:tabs>
          <w:tab w:val="left" w:pos="975"/>
        </w:tabs>
        <w:kinsoku/>
        <w:overflowPunct/>
        <w:topLinePunct w:val="0"/>
        <w:autoSpaceDE/>
        <w:autoSpaceDN/>
        <w:bidi w:val="0"/>
        <w:adjustRightInd/>
        <w:snapToGrid w:val="0"/>
        <w:spacing w:line="500" w:lineRule="exact"/>
        <w:ind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（1）单位负责人为同一人或者存在直接控股、管理关系的不同供应商，参加同一合同项下采购活动；</w:t>
      </w:r>
    </w:p>
    <w:p w14:paraId="5E80DAD4">
      <w:pPr>
        <w:keepNext w:val="0"/>
        <w:keepLines w:val="0"/>
        <w:pageBreakBefore w:val="0"/>
        <w:tabs>
          <w:tab w:val="left" w:pos="975"/>
        </w:tabs>
        <w:kinsoku/>
        <w:overflowPunct/>
        <w:topLinePunct w:val="0"/>
        <w:autoSpaceDE/>
        <w:autoSpaceDN/>
        <w:bidi w:val="0"/>
        <w:adjustRightInd/>
        <w:snapToGrid w:val="0"/>
        <w:spacing w:line="500" w:lineRule="exact"/>
        <w:ind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（2）生产厂商授权给供应商后又参加同一合同项下的采购活动；生产厂商对同一品牌同一型号的货物委托多个代理商参加磋商活动。</w:t>
      </w:r>
    </w:p>
    <w:p w14:paraId="2AB8E0B8">
      <w:pPr>
        <w:keepNext w:val="0"/>
        <w:keepLines w:val="0"/>
        <w:pageBreakBefore w:val="0"/>
        <w:tabs>
          <w:tab w:val="left" w:pos="975"/>
        </w:tabs>
        <w:kinsoku/>
        <w:overflowPunct/>
        <w:topLinePunct w:val="0"/>
        <w:autoSpaceDE/>
        <w:autoSpaceDN/>
        <w:bidi w:val="0"/>
        <w:adjustRightInd/>
        <w:snapToGrid w:val="0"/>
        <w:spacing w:line="500" w:lineRule="exact"/>
        <w:ind w:firstLine="413" w:firstLineChars="196"/>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15.4被拒绝的响应文件为无效。</w:t>
      </w:r>
    </w:p>
    <w:p w14:paraId="0DF50481">
      <w:pPr>
        <w:keepNext w:val="0"/>
        <w:keepLines w:val="0"/>
        <w:pageBreakBefore w:val="0"/>
        <w:tabs>
          <w:tab w:val="left" w:pos="975"/>
        </w:tabs>
        <w:kinsoku/>
        <w:overflowPunct/>
        <w:topLinePunct w:val="0"/>
        <w:autoSpaceDE/>
        <w:autoSpaceDN/>
        <w:bidi w:val="0"/>
        <w:adjustRightInd/>
        <w:snapToGrid w:val="0"/>
        <w:spacing w:line="500" w:lineRule="exact"/>
        <w:ind w:firstLine="413" w:firstLineChars="196"/>
        <w:jc w:val="left"/>
        <w:textAlignment w:val="auto"/>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15.5磋商供应商竞争性磋商响应文件无效的，磋商小组应当告知有关供应商。</w:t>
      </w:r>
    </w:p>
    <w:p w14:paraId="53FB7106">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16.磋商</w:t>
      </w:r>
    </w:p>
    <w:p w14:paraId="780A52A3">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16.1第一轮磋商</w:t>
      </w:r>
    </w:p>
    <w:p w14:paraId="023DDBAA">
      <w:pPr>
        <w:keepNext w:val="0"/>
        <w:keepLines w:val="0"/>
        <w:pageBreakBefore w:val="0"/>
        <w:widowControl/>
        <w:tabs>
          <w:tab w:val="left" w:pos="540"/>
        </w:tabs>
        <w:kinsoku/>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磋商时间及地点：详见本须知前附表第9项规定。</w:t>
      </w:r>
    </w:p>
    <w:p w14:paraId="7845F326">
      <w:pPr>
        <w:keepNext w:val="0"/>
        <w:keepLines w:val="0"/>
        <w:pageBreakBefore w:val="0"/>
        <w:widowControl/>
        <w:tabs>
          <w:tab w:val="left" w:pos="540"/>
        </w:tabs>
        <w:kinsoku/>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szCs w:val="21"/>
          <w:highlight w:val="none"/>
        </w:rPr>
        <w:t>磋商小组对竞争性磋商响应文件进行资格性审查，依据竞争性磋商文件对已通过资格性审核的各竞争性磋商响应文件进行书面评审，审查竞争性磋商响应文件是否实质上响应了竞争性磋商文件的要求，在评审后由磋商小组组长主持，归纳各专家审核意见，形成磋商要点。磋商小组依据磋商要点，所有成员集中与单一</w:t>
      </w:r>
      <w:r>
        <w:rPr>
          <w:rFonts w:hint="eastAsia" w:ascii="宋体" w:hAnsi="宋体" w:eastAsia="宋体" w:cs="宋体"/>
          <w:bCs/>
          <w:color w:val="auto"/>
          <w:szCs w:val="21"/>
          <w:highlight w:val="none"/>
        </w:rPr>
        <w:t>供应商分别</w:t>
      </w:r>
      <w:r>
        <w:rPr>
          <w:rFonts w:hint="eastAsia" w:ascii="宋体" w:hAnsi="宋体" w:eastAsia="宋体" w:cs="宋体"/>
          <w:color w:val="auto"/>
          <w:szCs w:val="21"/>
          <w:highlight w:val="none"/>
        </w:rPr>
        <w:t>进行磋商，</w:t>
      </w:r>
      <w:r>
        <w:rPr>
          <w:rFonts w:hint="eastAsia" w:ascii="宋体" w:hAnsi="宋体" w:eastAsia="宋体" w:cs="宋体"/>
          <w:color w:val="auto"/>
          <w:kern w:val="0"/>
          <w:szCs w:val="21"/>
          <w:highlight w:val="none"/>
        </w:rPr>
        <w:t>给予所有参加磋商的供应商平等的磋商机会。</w:t>
      </w:r>
    </w:p>
    <w:p w14:paraId="2482424A">
      <w:pPr>
        <w:keepNext w:val="0"/>
        <w:keepLines w:val="0"/>
        <w:pageBreakBefore w:val="0"/>
        <w:widowControl/>
        <w:tabs>
          <w:tab w:val="left" w:pos="540"/>
        </w:tabs>
        <w:kinsoku/>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磋商评审在严格保密的情况下进行，磋商的任何一方不得透露与磋商有关的其他供应商的技术资料、价格和其他信息。本公司对磋商过程和重要磋商内容进行记录，磋商双方在记录上签字确认。</w:t>
      </w:r>
    </w:p>
    <w:p w14:paraId="7FAEBD4B">
      <w:pPr>
        <w:keepNext w:val="0"/>
        <w:keepLines w:val="0"/>
        <w:pageBreakBefore w:val="0"/>
        <w:widowControl/>
        <w:tabs>
          <w:tab w:val="left" w:pos="540"/>
        </w:tabs>
        <w:kinsoku/>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磋商后，供应商根据磋商小组统一整理的书面磋商记录要求做出书面承诺，并由其法定代表人(负责人)或授权代表签字或者加盖公章</w:t>
      </w:r>
      <w:r>
        <w:rPr>
          <w:rFonts w:hint="eastAsia" w:ascii="宋体" w:hAnsi="宋体" w:eastAsia="宋体" w:cs="宋体"/>
          <w:color w:val="auto"/>
          <w:kern w:val="0"/>
          <w:szCs w:val="21"/>
          <w:highlight w:val="none"/>
        </w:rPr>
        <w:t>后按时密封递交</w:t>
      </w:r>
      <w:r>
        <w:rPr>
          <w:rFonts w:hint="eastAsia" w:ascii="宋体" w:hAnsi="宋体" w:eastAsia="宋体" w:cs="宋体"/>
          <w:color w:val="auto"/>
          <w:szCs w:val="21"/>
          <w:highlight w:val="none"/>
        </w:rPr>
        <w:t>。</w:t>
      </w:r>
    </w:p>
    <w:p w14:paraId="7537CF3F">
      <w:pPr>
        <w:keepNext w:val="0"/>
        <w:keepLines w:val="0"/>
        <w:pageBreakBefore w:val="0"/>
        <w:widowControl/>
        <w:tabs>
          <w:tab w:val="left" w:pos="540"/>
        </w:tabs>
        <w:kinsoku/>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当磋商小组一致确定供应商的竞争性磋商响应文件符合竞争性磋商文件要求，无需再磋商的，磋商小组按竞争性磋商文件设定的16.4、16.6程序和</w:t>
      </w:r>
      <w:r>
        <w:rPr>
          <w:rFonts w:hint="eastAsia" w:ascii="宋体" w:hAnsi="宋体" w:eastAsia="宋体" w:cs="宋体"/>
          <w:color w:val="auto"/>
          <w:highlight w:val="none"/>
        </w:rPr>
        <w:t>评标</w:t>
      </w:r>
      <w:r>
        <w:rPr>
          <w:rFonts w:hint="eastAsia" w:ascii="宋体" w:hAnsi="宋体" w:eastAsia="宋体" w:cs="宋体"/>
          <w:color w:val="auto"/>
          <w:szCs w:val="21"/>
          <w:highlight w:val="none"/>
        </w:rPr>
        <w:t>方法确定成交候选供应商。第一轮磋商后竞争性磋商文件有实质性变动或仍需磋商的，磋商小组对竞争性磋商文件变动或提出磋商意见后进行第二轮磋商。</w:t>
      </w:r>
    </w:p>
    <w:p w14:paraId="2D2BBD93">
      <w:pPr>
        <w:keepNext w:val="0"/>
        <w:keepLines w:val="0"/>
        <w:pageBreakBefore w:val="0"/>
        <w:widowControl/>
        <w:tabs>
          <w:tab w:val="left" w:pos="540"/>
        </w:tabs>
        <w:kinsoku/>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16.2竞争性磋商文件变动</w:t>
      </w:r>
    </w:p>
    <w:p w14:paraId="53B96152">
      <w:pPr>
        <w:keepNext w:val="0"/>
        <w:keepLines w:val="0"/>
        <w:pageBreakBefore w:val="0"/>
        <w:widowControl/>
        <w:tabs>
          <w:tab w:val="left" w:pos="540"/>
        </w:tabs>
        <w:kinsoku/>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第一轮磋商结束后，各响应供应商退场等候，由磋商小组组长主持，根据竞争性磋商文件和磋商情况结合第一轮磋商整体情况，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7357A8CA">
      <w:pPr>
        <w:keepNext w:val="0"/>
        <w:keepLines w:val="0"/>
        <w:pageBreakBefore w:val="0"/>
        <w:widowControl/>
        <w:tabs>
          <w:tab w:val="left" w:pos="540"/>
        </w:tabs>
        <w:kinsoku/>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对竞争性磋商文件作出的实质性变动是竞争性磋商文件的有效组成部分，磋商小组应当及时以书面形式同时通知所有参加磋商的供应商，并要求供应商做出书面响应。</w:t>
      </w:r>
    </w:p>
    <w:p w14:paraId="41881819">
      <w:pPr>
        <w:keepNext w:val="0"/>
        <w:keepLines w:val="0"/>
        <w:pageBreakBefore w:val="0"/>
        <w:widowControl/>
        <w:tabs>
          <w:tab w:val="left" w:pos="540"/>
        </w:tabs>
        <w:kinsoku/>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（2）供应商应当按照竞争性磋商文件的变动情况和磋商小组的要求重新提交竞争性磋商响应文件，并由其法定代表人或授权代表签字或者加盖公章</w:t>
      </w:r>
      <w:r>
        <w:rPr>
          <w:rFonts w:hint="eastAsia" w:ascii="宋体" w:hAnsi="宋体" w:eastAsia="宋体" w:cs="宋体"/>
          <w:color w:val="auto"/>
          <w:kern w:val="0"/>
          <w:szCs w:val="21"/>
          <w:highlight w:val="none"/>
        </w:rPr>
        <w:t>后密封递交</w:t>
      </w:r>
      <w:r>
        <w:rPr>
          <w:rFonts w:hint="eastAsia" w:ascii="宋体" w:hAnsi="宋体" w:eastAsia="宋体" w:cs="宋体"/>
          <w:color w:val="auto"/>
          <w:szCs w:val="21"/>
          <w:highlight w:val="none"/>
        </w:rPr>
        <w:t>。由授权代表（委托代理人）签字的，应当附法定代表人授权书。供应商为自然人的，应当由本人签字并附身份证明。逾时不交的，视同放弃磋商。重新提交的响应文件与竞争性磋商响应文件同具法律效力。</w:t>
      </w:r>
    </w:p>
    <w:p w14:paraId="5AE1A5AA">
      <w:pPr>
        <w:keepNext w:val="0"/>
        <w:keepLines w:val="0"/>
        <w:pageBreakBefore w:val="0"/>
        <w:widowControl/>
        <w:tabs>
          <w:tab w:val="left" w:pos="540"/>
        </w:tabs>
        <w:kinsoku/>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16.3第二轮磋商</w:t>
      </w:r>
    </w:p>
    <w:p w14:paraId="59B66FE4">
      <w:pPr>
        <w:keepNext w:val="0"/>
        <w:keepLines w:val="0"/>
        <w:pageBreakBefore w:val="0"/>
        <w:widowControl/>
        <w:tabs>
          <w:tab w:val="left" w:pos="540"/>
        </w:tabs>
        <w:kinsoku/>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磋商小组集中就</w:t>
      </w:r>
      <w:r>
        <w:rPr>
          <w:rFonts w:hint="eastAsia" w:ascii="宋体" w:hAnsi="宋体" w:eastAsia="宋体" w:cs="宋体"/>
          <w:color w:val="auto"/>
          <w:szCs w:val="21"/>
          <w:highlight w:val="none"/>
        </w:rPr>
        <w:t>重新提交的响应文件或</w:t>
      </w:r>
      <w:r>
        <w:rPr>
          <w:rFonts w:hint="eastAsia" w:ascii="宋体" w:hAnsi="宋体" w:eastAsia="宋体" w:cs="宋体"/>
          <w:color w:val="auto"/>
          <w:kern w:val="0"/>
          <w:szCs w:val="21"/>
          <w:highlight w:val="none"/>
        </w:rPr>
        <w:t>磋商小组</w:t>
      </w:r>
      <w:r>
        <w:rPr>
          <w:rFonts w:hint="eastAsia" w:ascii="宋体" w:hAnsi="宋体" w:eastAsia="宋体" w:cs="宋体"/>
          <w:color w:val="auto"/>
          <w:szCs w:val="21"/>
          <w:highlight w:val="none"/>
        </w:rPr>
        <w:t>提出的磋商意见</w:t>
      </w:r>
      <w:r>
        <w:rPr>
          <w:rFonts w:hint="eastAsia" w:ascii="宋体" w:hAnsi="宋体" w:eastAsia="宋体" w:cs="宋体"/>
          <w:color w:val="auto"/>
          <w:kern w:val="0"/>
          <w:szCs w:val="21"/>
          <w:highlight w:val="none"/>
        </w:rPr>
        <w:t>与单一响应供应商分别进行磋商。</w:t>
      </w:r>
      <w:r>
        <w:rPr>
          <w:rFonts w:hint="eastAsia" w:ascii="宋体" w:hAnsi="宋体" w:eastAsia="宋体" w:cs="宋体"/>
          <w:color w:val="auto"/>
          <w:szCs w:val="21"/>
          <w:highlight w:val="none"/>
        </w:rPr>
        <w:t>本公司对磋商过程和重要磋商内容进行记录，磋商双方在记录上签字确认。</w:t>
      </w:r>
    </w:p>
    <w:p w14:paraId="6191507C">
      <w:pPr>
        <w:keepNext w:val="0"/>
        <w:keepLines w:val="0"/>
        <w:pageBreakBefore w:val="0"/>
        <w:widowControl/>
        <w:tabs>
          <w:tab w:val="left" w:pos="540"/>
        </w:tabs>
        <w:kinsoku/>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磋商后，供应商根据磋商小组统一整理的书面磋商记录要求做出书面承诺，并由其法定代表人或授权代表签字或者加盖公章</w:t>
      </w:r>
      <w:r>
        <w:rPr>
          <w:rFonts w:hint="eastAsia" w:ascii="宋体" w:hAnsi="宋体" w:eastAsia="宋体" w:cs="宋体"/>
          <w:color w:val="auto"/>
          <w:kern w:val="0"/>
          <w:szCs w:val="21"/>
          <w:highlight w:val="none"/>
        </w:rPr>
        <w:t>后按时密封递交</w:t>
      </w:r>
      <w:r>
        <w:rPr>
          <w:rFonts w:hint="eastAsia" w:ascii="宋体" w:hAnsi="宋体" w:eastAsia="宋体" w:cs="宋体"/>
          <w:color w:val="auto"/>
          <w:szCs w:val="21"/>
          <w:highlight w:val="none"/>
        </w:rPr>
        <w:t>。</w:t>
      </w:r>
    </w:p>
    <w:p w14:paraId="20C20B3B">
      <w:pPr>
        <w:keepNext w:val="0"/>
        <w:keepLines w:val="0"/>
        <w:pageBreakBefore w:val="0"/>
        <w:widowControl/>
        <w:tabs>
          <w:tab w:val="left" w:pos="540"/>
        </w:tabs>
        <w:kinsoku/>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当磋商小组一致确定供应商的竞争性磋商响应文件符合竞争性磋商文件要求，无需再磋商的，磋商小组按竞争性磋商文件设定的16.4、16.6程序和</w:t>
      </w:r>
      <w:r>
        <w:rPr>
          <w:rFonts w:hint="eastAsia" w:ascii="宋体" w:hAnsi="宋体" w:eastAsia="宋体" w:cs="宋体"/>
          <w:color w:val="auto"/>
          <w:highlight w:val="none"/>
        </w:rPr>
        <w:t>评标</w:t>
      </w:r>
      <w:r>
        <w:rPr>
          <w:rFonts w:hint="eastAsia" w:ascii="宋体" w:hAnsi="宋体" w:eastAsia="宋体" w:cs="宋体"/>
          <w:color w:val="auto"/>
          <w:szCs w:val="21"/>
          <w:highlight w:val="none"/>
        </w:rPr>
        <w:t>方法确定成交候选供应商。第二轮磋商后竞争性磋商文件仍有实质性变动的或仍需磋商的，磋商小组对竞争性磋商文件变动或提出磋商意见后进行第三轮磋商。以此类推。</w:t>
      </w:r>
    </w:p>
    <w:p w14:paraId="1833DB4C">
      <w:pPr>
        <w:keepNext w:val="0"/>
        <w:keepLines w:val="0"/>
        <w:pageBreakBefore w:val="0"/>
        <w:widowControl/>
        <w:tabs>
          <w:tab w:val="left" w:pos="540"/>
        </w:tabs>
        <w:kinsoku/>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16.4最后报价</w:t>
      </w:r>
    </w:p>
    <w:p w14:paraId="1EA91A4D">
      <w:pPr>
        <w:keepNext w:val="0"/>
        <w:keepLines w:val="0"/>
        <w:pageBreakBefore w:val="0"/>
        <w:widowControl/>
        <w:tabs>
          <w:tab w:val="left" w:pos="540"/>
        </w:tabs>
        <w:kinsoku/>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rPr>
        <w:t>磋商结束后，磋商小组要求所有继续参加磋商的供应商在规定时间内提交最后报价。继续参加磋商的供应商</w:t>
      </w:r>
      <w:r>
        <w:rPr>
          <w:rFonts w:hint="eastAsia" w:ascii="宋体" w:hAnsi="宋体" w:eastAsia="宋体" w:cs="宋体"/>
          <w:color w:val="auto"/>
          <w:szCs w:val="21"/>
          <w:highlight w:val="none"/>
        </w:rPr>
        <w:t>作最后报价，由其法定代表人或授权代表签字或者加盖公章</w:t>
      </w:r>
      <w:r>
        <w:rPr>
          <w:rFonts w:hint="eastAsia" w:ascii="宋体" w:hAnsi="宋体" w:eastAsia="宋体" w:cs="宋体"/>
          <w:color w:val="auto"/>
          <w:kern w:val="0"/>
          <w:szCs w:val="21"/>
          <w:highlight w:val="none"/>
        </w:rPr>
        <w:t>后密封递交</w:t>
      </w:r>
      <w:r>
        <w:rPr>
          <w:rFonts w:hint="eastAsia" w:ascii="宋体" w:hAnsi="宋体" w:eastAsia="宋体" w:cs="宋体"/>
          <w:color w:val="auto"/>
          <w:szCs w:val="21"/>
          <w:highlight w:val="none"/>
        </w:rPr>
        <w:t>磋商小组，磋商小组应当从质量和服务均能满足磋商文件实质性响应要求的供应商中，按照评标标准的得分由高到低的顺序提出3名以上成交候选供应商</w:t>
      </w:r>
      <w:r>
        <w:rPr>
          <w:rFonts w:hint="eastAsia" w:ascii="宋体" w:hAnsi="宋体" w:eastAsia="宋体" w:cs="宋体"/>
          <w:bCs/>
          <w:color w:val="auto"/>
          <w:highlight w:val="none"/>
        </w:rPr>
        <w:t>（得分相同时，以磋商报价</w:t>
      </w:r>
      <w:r>
        <w:rPr>
          <w:rFonts w:hint="eastAsia" w:ascii="宋体" w:hAnsi="宋体" w:eastAsia="宋体" w:cs="宋体"/>
          <w:b/>
          <w:bCs/>
          <w:color w:val="auto"/>
          <w:highlight w:val="none"/>
        </w:rPr>
        <w:t>由低到高</w:t>
      </w:r>
      <w:r>
        <w:rPr>
          <w:rFonts w:hint="eastAsia" w:ascii="宋体" w:hAnsi="宋体" w:eastAsia="宋体" w:cs="宋体"/>
          <w:bCs/>
          <w:color w:val="auto"/>
          <w:highlight w:val="none"/>
        </w:rPr>
        <w:t>顺序排列；得分相同且报价相同的，按服务方案优劣顺序排列）</w:t>
      </w:r>
      <w:r>
        <w:rPr>
          <w:rFonts w:hint="eastAsia" w:ascii="宋体" w:hAnsi="宋体" w:eastAsia="宋体" w:cs="宋体"/>
          <w:color w:val="auto"/>
          <w:szCs w:val="21"/>
          <w:highlight w:val="none"/>
        </w:rPr>
        <w:t>，并编写评审报告。最后报价是供应商竞争性磋商响应文件的有效组成部分。</w:t>
      </w:r>
    </w:p>
    <w:p w14:paraId="0A235701">
      <w:pPr>
        <w:keepNext w:val="0"/>
        <w:keepLines w:val="0"/>
        <w:pageBreakBefore w:val="0"/>
        <w:widowControl/>
        <w:tabs>
          <w:tab w:val="left" w:pos="540"/>
        </w:tabs>
        <w:kinsoku/>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D433E61">
      <w:pPr>
        <w:keepNext w:val="0"/>
        <w:keepLines w:val="0"/>
        <w:pageBreakBefore w:val="0"/>
        <w:widowControl/>
        <w:tabs>
          <w:tab w:val="left" w:pos="540"/>
        </w:tabs>
        <w:kinsoku/>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16.5在采购过程中符合要求的供应商或者报价未超过采购预算的供应商不足3家的，磋商活动终止。</w:t>
      </w:r>
    </w:p>
    <w:p w14:paraId="776DE26A">
      <w:pPr>
        <w:keepNext w:val="0"/>
        <w:keepLines w:val="0"/>
        <w:pageBreakBefore w:val="0"/>
        <w:widowControl/>
        <w:tabs>
          <w:tab w:val="left" w:pos="540"/>
        </w:tabs>
        <w:kinsoku/>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备注：①属于市场竞争不充分的科研项目，以及需要扶持的科技成果转化项目，提交最后报价的供应商可以为2家。</w:t>
      </w:r>
    </w:p>
    <w:p w14:paraId="7950C845">
      <w:pPr>
        <w:keepNext w:val="0"/>
        <w:keepLines w:val="0"/>
        <w:pageBreakBefore w:val="0"/>
        <w:widowControl/>
        <w:tabs>
          <w:tab w:val="left" w:pos="540"/>
        </w:tabs>
        <w:kinsoku/>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②根据财库【2015】124号《财政部关于政府采购竞争性磋商采购方式有关问题的通知》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7F5D0275">
      <w:pPr>
        <w:keepNext w:val="0"/>
        <w:keepLines w:val="0"/>
        <w:pageBreakBefore w:val="0"/>
        <w:widowControl/>
        <w:tabs>
          <w:tab w:val="left" w:pos="540"/>
        </w:tabs>
        <w:kinsoku/>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16.6</w:t>
      </w:r>
      <w:r>
        <w:rPr>
          <w:rFonts w:hint="eastAsia" w:ascii="宋体" w:hAnsi="宋体" w:eastAsia="宋体" w:cs="宋体"/>
          <w:color w:val="auto"/>
          <w:highlight w:val="none"/>
        </w:rPr>
        <w:t>本采购项目的评审依据为竞争性磋商文件和竞争性磋商响应文件，采用的评标方法为</w:t>
      </w:r>
      <w:r>
        <w:rPr>
          <w:rFonts w:hint="eastAsia" w:ascii="宋体" w:hAnsi="宋体" w:eastAsia="宋体" w:cs="宋体"/>
          <w:b/>
          <w:color w:val="auto"/>
          <w:highlight w:val="none"/>
        </w:rPr>
        <w:t>综合评分法</w:t>
      </w:r>
      <w:r>
        <w:rPr>
          <w:rFonts w:hint="eastAsia" w:ascii="宋体" w:hAnsi="宋体" w:eastAsia="宋体" w:cs="宋体"/>
          <w:color w:val="auto"/>
          <w:highlight w:val="none"/>
        </w:rPr>
        <w:t>。</w:t>
      </w:r>
    </w:p>
    <w:p w14:paraId="29F298D7">
      <w:pPr>
        <w:keepNext w:val="0"/>
        <w:keepLines w:val="0"/>
        <w:pageBreakBefore w:val="0"/>
        <w:widowControl/>
        <w:tabs>
          <w:tab w:val="left" w:pos="540"/>
        </w:tabs>
        <w:kinsoku/>
        <w:overflowPunct/>
        <w:topLinePunct w:val="0"/>
        <w:autoSpaceDE/>
        <w:autoSpaceDN/>
        <w:bidi w:val="0"/>
        <w:adjustRightInd/>
        <w:spacing w:line="500" w:lineRule="exact"/>
        <w:ind w:firstLine="422" w:firstLineChars="200"/>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九、确定成交供应商办法</w:t>
      </w:r>
    </w:p>
    <w:p w14:paraId="5CB33BC6">
      <w:pPr>
        <w:keepNext w:val="0"/>
        <w:keepLines w:val="0"/>
        <w:pageBreakBefore w:val="0"/>
        <w:widowControl/>
        <w:tabs>
          <w:tab w:val="left" w:pos="540"/>
        </w:tabs>
        <w:kinsoku/>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17.根据以下原则确定成交供应商：质量和服务均能满足</w:t>
      </w:r>
      <w:r>
        <w:rPr>
          <w:rFonts w:hint="eastAsia" w:ascii="宋体" w:hAnsi="宋体" w:eastAsia="宋体" w:cs="宋体"/>
          <w:color w:val="auto"/>
          <w:highlight w:val="none"/>
        </w:rPr>
        <w:t>竞争性磋商文件</w:t>
      </w:r>
      <w:r>
        <w:rPr>
          <w:rFonts w:hint="eastAsia" w:ascii="宋体" w:hAnsi="宋体" w:eastAsia="宋体" w:cs="宋体"/>
          <w:color w:val="auto"/>
          <w:kern w:val="0"/>
          <w:szCs w:val="21"/>
          <w:highlight w:val="none"/>
        </w:rPr>
        <w:t>实质性响应要求的供应商中按综合评分法的成交候选供应商推荐原则确定成交供应商。</w:t>
      </w:r>
    </w:p>
    <w:p w14:paraId="5AA199DE">
      <w:pPr>
        <w:keepNext w:val="0"/>
        <w:keepLines w:val="0"/>
        <w:pageBreakBefore w:val="0"/>
        <w:widowControl/>
        <w:tabs>
          <w:tab w:val="left" w:pos="540"/>
        </w:tabs>
        <w:kinsoku/>
        <w:overflowPunct/>
        <w:topLinePunct w:val="0"/>
        <w:autoSpaceDE/>
        <w:autoSpaceDN/>
        <w:bidi w:val="0"/>
        <w:adjustRightInd/>
        <w:spacing w:line="500" w:lineRule="exact"/>
        <w:ind w:firstLine="422" w:firstLineChars="200"/>
        <w:jc w:val="left"/>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十、成交结果公告</w:t>
      </w:r>
    </w:p>
    <w:p w14:paraId="65A52741">
      <w:pPr>
        <w:keepNext w:val="0"/>
        <w:keepLines w:val="0"/>
        <w:pageBreakBefore w:val="0"/>
        <w:widowControl/>
        <w:tabs>
          <w:tab w:val="left" w:pos="540"/>
        </w:tabs>
        <w:kinsoku/>
        <w:wordWrap w:val="0"/>
        <w:overflowPunct/>
        <w:topLinePunct w:val="0"/>
        <w:autoSpaceDE/>
        <w:autoSpaceDN/>
        <w:bidi w:val="0"/>
        <w:adjustRightInd/>
        <w:spacing w:line="500" w:lineRule="exact"/>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kern w:val="0"/>
          <w:szCs w:val="21"/>
          <w:highlight w:val="none"/>
        </w:rPr>
        <w:t>18.1</w:t>
      </w:r>
      <w:r>
        <w:rPr>
          <w:rFonts w:hint="eastAsia" w:ascii="宋体" w:hAnsi="宋体" w:eastAsia="宋体" w:cs="宋体"/>
          <w:color w:val="auto"/>
          <w:highlight w:val="none"/>
        </w:rPr>
        <w:t>采购代理机构在评审结束后2个工作日内将磋商评审报告送采购人确认，</w:t>
      </w:r>
      <w:r>
        <w:rPr>
          <w:rFonts w:hint="eastAsia" w:ascii="宋体" w:hAnsi="宋体" w:eastAsia="宋体" w:cs="宋体"/>
          <w:color w:val="auto"/>
          <w:kern w:val="0"/>
          <w:highlight w:val="none"/>
        </w:rPr>
        <w:t>采购人</w:t>
      </w:r>
      <w:r>
        <w:rPr>
          <w:rFonts w:hint="eastAsia" w:ascii="宋体" w:hAnsi="宋体" w:eastAsia="宋体" w:cs="宋体"/>
          <w:color w:val="auto"/>
          <w:highlight w:val="none"/>
        </w:rPr>
        <w:t>确认后，成交结果公告将在</w:t>
      </w:r>
      <w:r>
        <w:rPr>
          <w:rFonts w:hint="eastAsia" w:ascii="宋体" w:hAnsi="宋体" w:eastAsia="宋体" w:cs="宋体"/>
          <w:color w:val="auto"/>
          <w:highlight w:val="none"/>
          <w:lang w:val="en-US" w:eastAsia="zh-CN"/>
        </w:rPr>
        <w:t>中国</w:t>
      </w:r>
      <w:r>
        <w:rPr>
          <w:rFonts w:hint="eastAsia" w:ascii="宋体" w:hAnsi="宋体" w:eastAsia="宋体" w:cs="宋体"/>
          <w:bCs/>
          <w:color w:val="auto"/>
          <w:szCs w:val="21"/>
          <w:highlight w:val="none"/>
          <w:lang w:bidi="ar"/>
        </w:rPr>
        <w:t>采购与招标网、</w:t>
      </w:r>
      <w:r>
        <w:rPr>
          <w:rFonts w:hint="eastAsia" w:ascii="宋体" w:hAnsi="宋体" w:eastAsia="宋体" w:cs="宋体"/>
          <w:color w:val="auto"/>
          <w:szCs w:val="21"/>
          <w:highlight w:val="none"/>
          <w:lang w:bidi="ar"/>
        </w:rPr>
        <w:t>广西国建项目管理有限公司网</w:t>
      </w:r>
      <w:r>
        <w:rPr>
          <w:rFonts w:hint="eastAsia" w:ascii="宋体" w:hAnsi="宋体" w:eastAsia="宋体" w:cs="宋体"/>
          <w:color w:val="auto"/>
          <w:highlight w:val="none"/>
        </w:rPr>
        <w:t>上发布，</w:t>
      </w:r>
      <w:r>
        <w:rPr>
          <w:rFonts w:hint="eastAsia" w:ascii="宋体" w:hAnsi="宋体" w:eastAsia="宋体" w:cs="宋体"/>
          <w:color w:val="auto"/>
          <w:kern w:val="0"/>
          <w:highlight w:val="none"/>
        </w:rPr>
        <w:t>同时向成交供应商发出成交通知书</w:t>
      </w:r>
      <w:r>
        <w:rPr>
          <w:rFonts w:hint="eastAsia" w:ascii="宋体" w:hAnsi="宋体" w:eastAsia="宋体" w:cs="宋体"/>
          <w:color w:val="auto"/>
          <w:highlight w:val="none"/>
        </w:rPr>
        <w:t>。</w:t>
      </w:r>
    </w:p>
    <w:p w14:paraId="520FAF85">
      <w:pPr>
        <w:pStyle w:val="8"/>
        <w:keepNext w:val="0"/>
        <w:keepLines w:val="0"/>
        <w:pageBreakBefore w:val="0"/>
        <w:kinsoku/>
        <w:overflowPunct/>
        <w:topLinePunct w:val="0"/>
        <w:autoSpaceDE/>
        <w:autoSpaceDN/>
        <w:bidi w:val="0"/>
        <w:adjustRightInd/>
        <w:spacing w:line="500" w:lineRule="exact"/>
        <w:ind w:left="105" w:firstLine="315"/>
        <w:textAlignment w:val="auto"/>
        <w:rPr>
          <w:rFonts w:hint="eastAsia" w:ascii="宋体" w:hAnsi="宋体" w:eastAsia="宋体" w:cs="宋体"/>
          <w:bCs/>
          <w:color w:val="auto"/>
          <w:highlight w:val="none"/>
        </w:rPr>
      </w:pPr>
      <w:r>
        <w:rPr>
          <w:rFonts w:hint="eastAsia" w:ascii="宋体" w:hAnsi="宋体" w:eastAsia="宋体" w:cs="宋体"/>
          <w:color w:val="auto"/>
          <w:highlight w:val="none"/>
        </w:rPr>
        <w:t>18.2磋商供应商</w:t>
      </w:r>
      <w:r>
        <w:rPr>
          <w:rFonts w:hint="eastAsia" w:ascii="宋体" w:hAnsi="宋体" w:eastAsia="宋体" w:cs="宋体"/>
          <w:color w:val="auto"/>
          <w:kern w:val="0"/>
          <w:highlight w:val="none"/>
        </w:rPr>
        <w:t>认为成交结果使自己的权益受到损害的</w:t>
      </w:r>
      <w:r>
        <w:rPr>
          <w:rFonts w:hint="eastAsia" w:ascii="宋体" w:hAnsi="宋体" w:eastAsia="宋体" w:cs="宋体"/>
          <w:color w:val="auto"/>
          <w:highlight w:val="none"/>
        </w:rPr>
        <w:t>，</w:t>
      </w:r>
      <w:r>
        <w:rPr>
          <w:rFonts w:hint="eastAsia" w:ascii="宋体" w:hAnsi="宋体" w:eastAsia="宋体" w:cs="宋体"/>
          <w:color w:val="auto"/>
          <w:kern w:val="0"/>
          <w:highlight w:val="none"/>
        </w:rPr>
        <w:t>可以在成交结果公告期限届满之日起</w:t>
      </w:r>
      <w:r>
        <w:rPr>
          <w:rFonts w:hint="eastAsia" w:ascii="宋体" w:hAnsi="宋体" w:eastAsia="宋体" w:cs="宋体"/>
          <w:bCs/>
          <w:color w:val="auto"/>
          <w:highlight w:val="none"/>
        </w:rPr>
        <w:t>七个工作日内以书面形式向采购代理机构提出质疑</w:t>
      </w:r>
      <w:r>
        <w:rPr>
          <w:rFonts w:hint="eastAsia" w:ascii="宋体" w:hAnsi="宋体" w:eastAsia="宋体" w:cs="宋体"/>
          <w:color w:val="auto"/>
          <w:highlight w:val="none"/>
        </w:rPr>
        <w:t>，供应商在法定质疑期内必须一次性提出针对同一采购程序环节的质疑</w:t>
      </w:r>
      <w:r>
        <w:rPr>
          <w:rFonts w:hint="eastAsia" w:ascii="宋体" w:hAnsi="宋体" w:eastAsia="宋体" w:cs="宋体"/>
          <w:bCs/>
          <w:color w:val="auto"/>
          <w:highlight w:val="none"/>
        </w:rPr>
        <w:t>。采购代理机构将在收到</w:t>
      </w:r>
      <w:r>
        <w:rPr>
          <w:rFonts w:hint="eastAsia" w:ascii="宋体" w:hAnsi="宋体" w:eastAsia="宋体" w:cs="宋体"/>
          <w:color w:val="auto"/>
          <w:highlight w:val="none"/>
        </w:rPr>
        <w:t>磋商供应商</w:t>
      </w:r>
      <w:r>
        <w:rPr>
          <w:rFonts w:hint="eastAsia" w:ascii="宋体" w:hAnsi="宋体" w:eastAsia="宋体" w:cs="宋体"/>
          <w:bCs/>
          <w:color w:val="auto"/>
          <w:highlight w:val="none"/>
        </w:rPr>
        <w:t>的书面质疑后七个工作日内做出答复，但答复的内容不得涉及商业秘密。</w:t>
      </w:r>
    </w:p>
    <w:p w14:paraId="2D419A10">
      <w:pPr>
        <w:pStyle w:val="8"/>
        <w:keepNext w:val="0"/>
        <w:keepLines w:val="0"/>
        <w:pageBreakBefore w:val="0"/>
        <w:kinsoku/>
        <w:overflowPunct/>
        <w:topLinePunct w:val="0"/>
        <w:autoSpaceDE/>
        <w:autoSpaceDN/>
        <w:bidi w:val="0"/>
        <w:adjustRightInd/>
        <w:spacing w:line="500" w:lineRule="exact"/>
        <w:ind w:firstLine="420"/>
        <w:textAlignment w:val="auto"/>
        <w:rPr>
          <w:rFonts w:hint="eastAsia" w:ascii="宋体" w:hAnsi="宋体" w:eastAsia="宋体" w:cs="宋体"/>
          <w:bCs/>
          <w:color w:val="auto"/>
          <w:highlight w:val="none"/>
        </w:rPr>
      </w:pPr>
      <w:r>
        <w:rPr>
          <w:rFonts w:hint="eastAsia" w:ascii="宋体" w:hAnsi="宋体" w:eastAsia="宋体" w:cs="宋体"/>
          <w:color w:val="auto"/>
          <w:highlight w:val="none"/>
        </w:rPr>
        <w:t>18.3</w:t>
      </w:r>
      <w:r>
        <w:rPr>
          <w:rFonts w:hint="eastAsia" w:ascii="宋体" w:hAnsi="宋体" w:eastAsia="宋体" w:cs="宋体"/>
          <w:bCs/>
          <w:color w:val="auto"/>
          <w:highlight w:val="none"/>
        </w:rPr>
        <w:t>质疑</w:t>
      </w:r>
      <w:r>
        <w:rPr>
          <w:rFonts w:hint="eastAsia" w:ascii="宋体" w:hAnsi="宋体" w:eastAsia="宋体" w:cs="宋体"/>
          <w:color w:val="auto"/>
          <w:highlight w:val="none"/>
        </w:rPr>
        <w:t>磋商供应商</w:t>
      </w:r>
      <w:r>
        <w:rPr>
          <w:rFonts w:hint="eastAsia" w:ascii="宋体" w:hAnsi="宋体" w:eastAsia="宋体" w:cs="宋体"/>
          <w:bCs/>
          <w:color w:val="auto"/>
          <w:highlight w:val="none"/>
        </w:rPr>
        <w:t>必须首先经过质疑程序，在对采购代理机构的答复不满意或者采购代理机构未在规定的时间内做出答复的，可以在答复期满后十五个工作日内书面向本级监督管理部门投诉。</w:t>
      </w:r>
    </w:p>
    <w:p w14:paraId="17460A0A">
      <w:pPr>
        <w:pStyle w:val="8"/>
        <w:keepNext w:val="0"/>
        <w:keepLines w:val="0"/>
        <w:pageBreakBefore w:val="0"/>
        <w:kinsoku/>
        <w:overflowPunct/>
        <w:topLinePunct w:val="0"/>
        <w:autoSpaceDE/>
        <w:autoSpaceDN/>
        <w:bidi w:val="0"/>
        <w:adjustRightInd/>
        <w:spacing w:line="5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质疑联系部门及电话为：广西国建项目管理有限公司                    0771-4915533</w:t>
      </w:r>
    </w:p>
    <w:p w14:paraId="39551737">
      <w:pPr>
        <w:pStyle w:val="8"/>
        <w:keepNext w:val="0"/>
        <w:keepLines w:val="0"/>
        <w:pageBreakBefore w:val="0"/>
        <w:kinsoku/>
        <w:overflowPunct/>
        <w:topLinePunct w:val="0"/>
        <w:autoSpaceDE/>
        <w:autoSpaceDN/>
        <w:bidi w:val="0"/>
        <w:adjustRightInd/>
        <w:spacing w:line="5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通讯地址：广西南宁市白沙大道53号松宇时代17楼</w:t>
      </w:r>
    </w:p>
    <w:p w14:paraId="42E2FF4F">
      <w:pPr>
        <w:pStyle w:val="8"/>
        <w:keepNext w:val="0"/>
        <w:keepLines w:val="0"/>
        <w:pageBreakBefore w:val="0"/>
        <w:kinsoku/>
        <w:overflowPunct/>
        <w:topLinePunct w:val="0"/>
        <w:autoSpaceDE/>
        <w:autoSpaceDN/>
        <w:bidi w:val="0"/>
        <w:adjustRightInd/>
        <w:spacing w:line="500" w:lineRule="exact"/>
        <w:ind w:firstLine="42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十一、签订合同</w:t>
      </w:r>
    </w:p>
    <w:p w14:paraId="459D71DF">
      <w:pPr>
        <w:pStyle w:val="8"/>
        <w:keepNext w:val="0"/>
        <w:keepLines w:val="0"/>
        <w:pageBreakBefore w:val="0"/>
        <w:kinsoku/>
        <w:overflowPunct/>
        <w:topLinePunct w:val="0"/>
        <w:autoSpaceDE/>
        <w:autoSpaceDN/>
        <w:bidi w:val="0"/>
        <w:adjustRightInd/>
        <w:spacing w:line="5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19.1签订合同时间：详见采购需求。</w:t>
      </w:r>
    </w:p>
    <w:p w14:paraId="0D33BE9E">
      <w:pPr>
        <w:pStyle w:val="8"/>
        <w:keepNext w:val="0"/>
        <w:keepLines w:val="0"/>
        <w:pageBreakBefore w:val="0"/>
        <w:kinsoku/>
        <w:overflowPunct/>
        <w:topLinePunct w:val="0"/>
        <w:autoSpaceDE/>
        <w:autoSpaceDN/>
        <w:bidi w:val="0"/>
        <w:adjustRightInd/>
        <w:spacing w:line="500" w:lineRule="exact"/>
        <w:ind w:firstLine="420"/>
        <w:textAlignment w:val="auto"/>
        <w:rPr>
          <w:rFonts w:hint="eastAsia" w:ascii="宋体" w:hAnsi="宋体" w:eastAsia="宋体" w:cs="宋体"/>
          <w:color w:val="auto"/>
          <w:kern w:val="0"/>
          <w:highlight w:val="none"/>
        </w:rPr>
      </w:pPr>
      <w:r>
        <w:rPr>
          <w:rFonts w:hint="eastAsia" w:ascii="宋体" w:hAnsi="宋体" w:eastAsia="宋体" w:cs="宋体"/>
          <w:color w:val="auto"/>
          <w:highlight w:val="none"/>
        </w:rPr>
        <w:t>19.2</w:t>
      </w:r>
      <w:r>
        <w:rPr>
          <w:rFonts w:hint="eastAsia" w:ascii="宋体" w:hAnsi="宋体" w:eastAsia="宋体" w:cs="宋体"/>
          <w:color w:val="auto"/>
          <w:kern w:val="0"/>
          <w:highlight w:val="none"/>
        </w:rPr>
        <w:t>成交供应商拒绝签订采购合同的</w:t>
      </w:r>
      <w:r>
        <w:rPr>
          <w:rFonts w:hint="eastAsia" w:ascii="宋体" w:hAnsi="宋体" w:eastAsia="宋体" w:cs="宋体"/>
          <w:color w:val="auto"/>
          <w:highlight w:val="none"/>
        </w:rPr>
        <w:t>，采购人可以根据磋商评审报告确定成交供应商之后排名第一的成交候选供应商</w:t>
      </w:r>
      <w:r>
        <w:rPr>
          <w:rFonts w:hint="eastAsia" w:ascii="宋体" w:hAnsi="宋体" w:eastAsia="宋体" w:cs="宋体"/>
          <w:color w:val="auto"/>
          <w:kern w:val="0"/>
          <w:highlight w:val="none"/>
        </w:rPr>
        <w:t>作为</w:t>
      </w:r>
      <w:r>
        <w:rPr>
          <w:rFonts w:hint="eastAsia" w:ascii="宋体" w:hAnsi="宋体" w:eastAsia="宋体" w:cs="宋体"/>
          <w:color w:val="auto"/>
          <w:highlight w:val="none"/>
        </w:rPr>
        <w:t>成交供应商</w:t>
      </w:r>
      <w:r>
        <w:rPr>
          <w:rFonts w:hint="eastAsia" w:ascii="宋体" w:hAnsi="宋体" w:eastAsia="宋体" w:cs="宋体"/>
          <w:color w:val="auto"/>
          <w:kern w:val="0"/>
          <w:highlight w:val="none"/>
        </w:rPr>
        <w:t>并签订采购合同，也可以重新开展采购活动。拒绝签订采购合同的成交供应商不得参加对该项目重新开展的采购活动。</w:t>
      </w:r>
    </w:p>
    <w:p w14:paraId="487CF42A">
      <w:pPr>
        <w:pStyle w:val="8"/>
        <w:keepNext w:val="0"/>
        <w:keepLines w:val="0"/>
        <w:pageBreakBefore w:val="0"/>
        <w:kinsoku/>
        <w:overflowPunct/>
        <w:topLinePunct w:val="0"/>
        <w:autoSpaceDE/>
        <w:autoSpaceDN/>
        <w:bidi w:val="0"/>
        <w:adjustRightInd/>
        <w:spacing w:line="500" w:lineRule="exact"/>
        <w:ind w:firstLine="42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19.3</w:t>
      </w:r>
      <w:r>
        <w:rPr>
          <w:rFonts w:hint="eastAsia" w:ascii="宋体" w:hAnsi="宋体" w:eastAsia="宋体" w:cs="宋体"/>
          <w:b/>
          <w:color w:val="auto"/>
          <w:kern w:val="0"/>
          <w:highlight w:val="none"/>
        </w:rPr>
        <w:t>成交供应商拒绝签订采购合同的</w:t>
      </w:r>
      <w:r>
        <w:rPr>
          <w:rFonts w:hint="eastAsia" w:ascii="宋体" w:hAnsi="宋体" w:eastAsia="宋体" w:cs="宋体"/>
          <w:b/>
          <w:color w:val="auto"/>
          <w:highlight w:val="none"/>
        </w:rPr>
        <w:t>，其保证金将不予退还，给采购人造成损失的，还应当赔偿损失，并作为不良行为记录在案。</w:t>
      </w:r>
    </w:p>
    <w:p w14:paraId="066B3BA4">
      <w:pPr>
        <w:pStyle w:val="8"/>
        <w:keepNext w:val="0"/>
        <w:keepLines w:val="0"/>
        <w:pageBreakBefore w:val="0"/>
        <w:kinsoku/>
        <w:overflowPunct/>
        <w:topLinePunct w:val="0"/>
        <w:autoSpaceDE/>
        <w:autoSpaceDN/>
        <w:bidi w:val="0"/>
        <w:adjustRightInd/>
        <w:spacing w:line="500" w:lineRule="exact"/>
        <w:ind w:firstLine="42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19.4履约保证金</w:t>
      </w:r>
    </w:p>
    <w:p w14:paraId="64537FC6">
      <w:pPr>
        <w:pStyle w:val="8"/>
        <w:keepNext w:val="0"/>
        <w:keepLines w:val="0"/>
        <w:pageBreakBefore w:val="0"/>
        <w:kinsoku/>
        <w:overflowPunct/>
        <w:topLinePunct w:val="0"/>
        <w:autoSpaceDE/>
        <w:autoSpaceDN/>
        <w:bidi w:val="0"/>
        <w:adjustRightInd/>
        <w:spacing w:line="500" w:lineRule="exact"/>
        <w:ind w:firstLine="42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（1）成交供应商须于签订合同前按磋商供应商须知前附表规定的金额及递交方式将履约保证金直接缴入指定账户。否则,不予办理签订合同。</w:t>
      </w:r>
    </w:p>
    <w:p w14:paraId="39BA62D2">
      <w:pPr>
        <w:pStyle w:val="8"/>
        <w:keepNext w:val="0"/>
        <w:keepLines w:val="0"/>
        <w:pageBreakBefore w:val="0"/>
        <w:kinsoku/>
        <w:overflowPunct/>
        <w:topLinePunct w:val="0"/>
        <w:autoSpaceDE/>
        <w:autoSpaceDN/>
        <w:bidi w:val="0"/>
        <w:adjustRightInd/>
        <w:spacing w:line="500" w:lineRule="exact"/>
        <w:ind w:firstLine="42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（2）签订合同后，如成交供应商不按双方签订的合同规定履约，则其全部履约保证金不予退还，履约保证金不足以赔偿损失的，按实际损失赔偿。</w:t>
      </w:r>
    </w:p>
    <w:p w14:paraId="17E0EA23">
      <w:pPr>
        <w:pStyle w:val="8"/>
        <w:keepNext w:val="0"/>
        <w:keepLines w:val="0"/>
        <w:pageBreakBefore w:val="0"/>
        <w:kinsoku/>
        <w:overflowPunct/>
        <w:topLinePunct w:val="0"/>
        <w:autoSpaceDE/>
        <w:autoSpaceDN/>
        <w:bidi w:val="0"/>
        <w:adjustRightInd/>
        <w:spacing w:line="500" w:lineRule="exact"/>
        <w:ind w:firstLine="42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（3）成交供应商按合同约定交货验收合格后，提交合同验收报告（格式见附件I），填写履约保证金退付意见书（格式见附件II），履约保证金由</w:t>
      </w:r>
      <w:r>
        <w:rPr>
          <w:rFonts w:hint="eastAsia" w:ascii="宋体" w:hAnsi="宋体" w:eastAsia="宋体" w:cs="宋体"/>
          <w:color w:val="auto"/>
          <w:highlight w:val="none"/>
        </w:rPr>
        <w:t>履约保证金收取单位按磋商供应商须知前附表规定的</w:t>
      </w:r>
      <w:r>
        <w:rPr>
          <w:rFonts w:hint="eastAsia" w:ascii="宋体" w:hAnsi="宋体" w:eastAsia="宋体" w:cs="宋体"/>
          <w:color w:val="auto"/>
          <w:kern w:val="0"/>
          <w:highlight w:val="none"/>
        </w:rPr>
        <w:t>方式退还（不计利息）。</w:t>
      </w:r>
    </w:p>
    <w:p w14:paraId="3B1461D2">
      <w:pPr>
        <w:pStyle w:val="8"/>
        <w:keepNext w:val="0"/>
        <w:keepLines w:val="0"/>
        <w:pageBreakBefore w:val="0"/>
        <w:kinsoku/>
        <w:overflowPunct/>
        <w:topLinePunct w:val="0"/>
        <w:autoSpaceDE/>
        <w:autoSpaceDN/>
        <w:bidi w:val="0"/>
        <w:adjustRightInd/>
        <w:spacing w:line="500" w:lineRule="exact"/>
        <w:ind w:firstLine="420"/>
        <w:textAlignment w:val="auto"/>
        <w:rPr>
          <w:rFonts w:hint="eastAsia" w:ascii="宋体" w:hAnsi="宋体" w:eastAsia="宋体" w:cs="宋体"/>
          <w:color w:val="auto"/>
          <w:kern w:val="0"/>
          <w:highlight w:val="none"/>
        </w:rPr>
      </w:pPr>
      <w:r>
        <w:rPr>
          <w:rFonts w:hint="eastAsia" w:ascii="宋体" w:hAnsi="宋体" w:eastAsia="宋体" w:cs="宋体"/>
          <w:color w:val="auto"/>
          <w:kern w:val="0"/>
          <w:highlight w:val="none"/>
        </w:rPr>
        <w:t>（4）在履约保证金退还日期前，若成交供应商的开户名称、开户银行、账号有变动的，请以书面形式通知</w:t>
      </w:r>
      <w:r>
        <w:rPr>
          <w:rFonts w:hint="eastAsia" w:ascii="宋体" w:hAnsi="宋体" w:eastAsia="宋体" w:cs="宋体"/>
          <w:color w:val="auto"/>
          <w:highlight w:val="none"/>
        </w:rPr>
        <w:t>履约保证金收取单位</w:t>
      </w:r>
      <w:r>
        <w:rPr>
          <w:rFonts w:hint="eastAsia" w:ascii="宋体" w:hAnsi="宋体" w:eastAsia="宋体" w:cs="宋体"/>
          <w:color w:val="auto"/>
          <w:kern w:val="0"/>
          <w:highlight w:val="none"/>
        </w:rPr>
        <w:t>，否则由此产生的后果由成交供应商自负。</w:t>
      </w:r>
    </w:p>
    <w:p w14:paraId="71D8348E">
      <w:pPr>
        <w:pStyle w:val="8"/>
        <w:keepNext w:val="0"/>
        <w:keepLines w:val="0"/>
        <w:pageBreakBefore w:val="0"/>
        <w:kinsoku/>
        <w:overflowPunct/>
        <w:topLinePunct w:val="0"/>
        <w:autoSpaceDE/>
        <w:autoSpaceDN/>
        <w:bidi w:val="0"/>
        <w:adjustRightInd/>
        <w:spacing w:line="500" w:lineRule="exact"/>
        <w:ind w:firstLine="420"/>
        <w:textAlignment w:val="auto"/>
        <w:rPr>
          <w:rFonts w:hint="eastAsia" w:ascii="宋体" w:hAnsi="宋体" w:eastAsia="宋体" w:cs="宋体"/>
          <w:b/>
          <w:color w:val="auto"/>
          <w:highlight w:val="none"/>
        </w:rPr>
      </w:pPr>
      <w:r>
        <w:rPr>
          <w:rFonts w:hint="eastAsia" w:ascii="宋体" w:hAnsi="宋体" w:eastAsia="宋体" w:cs="宋体"/>
          <w:b/>
          <w:color w:val="auto"/>
          <w:highlight w:val="none"/>
        </w:rPr>
        <w:t>十二、适用法律</w:t>
      </w:r>
    </w:p>
    <w:p w14:paraId="34D88BFC">
      <w:pPr>
        <w:pStyle w:val="8"/>
        <w:keepNext w:val="0"/>
        <w:keepLines w:val="0"/>
        <w:pageBreakBefore w:val="0"/>
        <w:kinsoku/>
        <w:overflowPunct/>
        <w:topLinePunct w:val="0"/>
        <w:autoSpaceDE/>
        <w:autoSpaceDN/>
        <w:bidi w:val="0"/>
        <w:adjustRightInd/>
        <w:spacing w:line="500" w:lineRule="exact"/>
        <w:ind w:firstLine="420"/>
        <w:textAlignment w:val="auto"/>
        <w:rPr>
          <w:rFonts w:hint="eastAsia" w:ascii="宋体" w:hAnsi="宋体" w:eastAsia="宋体" w:cs="宋体"/>
          <w:color w:val="auto"/>
          <w:highlight w:val="none"/>
        </w:rPr>
      </w:pPr>
      <w:r>
        <w:rPr>
          <w:rFonts w:hint="eastAsia" w:ascii="宋体" w:hAnsi="宋体" w:eastAsia="宋体" w:cs="宋体"/>
          <w:color w:val="auto"/>
          <w:highlight w:val="none"/>
        </w:rPr>
        <w:t>20.采购当事人的一切活动</w:t>
      </w:r>
      <w:r>
        <w:rPr>
          <w:rFonts w:hint="eastAsia" w:ascii="宋体" w:hAnsi="宋体" w:eastAsia="宋体" w:cs="宋体"/>
          <w:color w:val="auto"/>
          <w:highlight w:val="none"/>
          <w:lang w:val="en-US" w:eastAsia="zh-CN"/>
        </w:rPr>
        <w:t>参照</w:t>
      </w:r>
      <w:r>
        <w:rPr>
          <w:rFonts w:hint="eastAsia" w:ascii="宋体" w:hAnsi="宋体" w:eastAsia="宋体" w:cs="宋体"/>
          <w:color w:val="auto"/>
          <w:highlight w:val="none"/>
        </w:rPr>
        <w:t>《中华人民共和国政府采购法》及相关规定。最终磋商结束后，</w:t>
      </w:r>
    </w:p>
    <w:p w14:paraId="6D74D537">
      <w:pPr>
        <w:keepNext w:val="0"/>
        <w:keepLines w:val="0"/>
        <w:pageBreakBefore w:val="0"/>
        <w:kinsoku/>
        <w:overflowPunct/>
        <w:topLinePunct w:val="0"/>
        <w:autoSpaceDE/>
        <w:autoSpaceDN/>
        <w:bidi w:val="0"/>
        <w:adjustRightInd/>
        <w:spacing w:line="5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磋商小组不得再与磋商供应商进行任何形式的商谈。</w:t>
      </w:r>
    </w:p>
    <w:p w14:paraId="44C9B968">
      <w:pPr>
        <w:keepNext w:val="0"/>
        <w:keepLines w:val="0"/>
        <w:pageBreakBefore w:val="0"/>
        <w:kinsoku/>
        <w:overflowPunct/>
        <w:topLinePunct w:val="0"/>
        <w:autoSpaceDE/>
        <w:autoSpaceDN/>
        <w:bidi w:val="0"/>
        <w:adjustRightInd/>
        <w:spacing w:line="50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十三、其他事项</w:t>
      </w:r>
    </w:p>
    <w:p w14:paraId="1860BA56">
      <w:pPr>
        <w:keepNext w:val="0"/>
        <w:keepLines w:val="0"/>
        <w:pageBreakBefore w:val="0"/>
        <w:kinsoku/>
        <w:overflowPunct/>
        <w:topLinePunct w:val="0"/>
        <w:autoSpaceDE/>
        <w:autoSpaceDN/>
        <w:bidi w:val="0"/>
        <w:adjustRightInd/>
        <w:spacing w:line="50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21.1成交服务费</w:t>
      </w:r>
    </w:p>
    <w:p w14:paraId="442E1D22">
      <w:pPr>
        <w:pStyle w:val="8"/>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（1）采购代理机构</w:t>
      </w:r>
      <w:r>
        <w:rPr>
          <w:rFonts w:hint="eastAsia" w:ascii="宋体" w:hAnsi="宋体" w:eastAsia="宋体" w:cs="宋体"/>
          <w:color w:val="auto"/>
          <w:highlight w:val="none"/>
          <w:lang w:val="en-US" w:eastAsia="zh-CN"/>
        </w:rPr>
        <w:t>参照</w:t>
      </w:r>
      <w:r>
        <w:rPr>
          <w:rFonts w:hint="eastAsia" w:ascii="宋体" w:hAnsi="宋体" w:eastAsia="宋体" w:cs="宋体"/>
          <w:color w:val="auto"/>
          <w:highlight w:val="none"/>
        </w:rPr>
        <w:t>（桂价费 〔2011〕55号）的收费标准，按4500元计取</w:t>
      </w:r>
      <w:r>
        <w:rPr>
          <w:rFonts w:hint="eastAsia" w:ascii="宋体" w:hAnsi="宋体" w:eastAsia="宋体" w:cs="宋体"/>
          <w:color w:val="auto"/>
          <w:highlight w:val="none"/>
          <w:lang w:val="en-US" w:eastAsia="zh-CN"/>
        </w:rPr>
        <w:t>代理</w:t>
      </w:r>
      <w:r>
        <w:rPr>
          <w:rFonts w:hint="eastAsia" w:ascii="宋体" w:hAnsi="宋体" w:eastAsia="宋体" w:cs="宋体"/>
          <w:color w:val="auto"/>
          <w:highlight w:val="none"/>
        </w:rPr>
        <w:t>服务费。签订合同前，</w:t>
      </w:r>
      <w:r>
        <w:rPr>
          <w:rFonts w:hint="eastAsia" w:ascii="宋体" w:hAnsi="宋体" w:eastAsia="宋体" w:cs="宋体"/>
          <w:color w:val="auto"/>
          <w:highlight w:val="none"/>
          <w:lang w:val="en-US" w:eastAsia="zh-CN"/>
        </w:rPr>
        <w:t>采购人</w:t>
      </w:r>
      <w:r>
        <w:rPr>
          <w:rFonts w:hint="eastAsia" w:ascii="宋体" w:hAnsi="宋体" w:eastAsia="宋体" w:cs="宋体"/>
          <w:color w:val="auto"/>
          <w:highlight w:val="none"/>
        </w:rPr>
        <w:t>须向广西国建项目管理有限公司一次付清成交服务费。</w:t>
      </w:r>
    </w:p>
    <w:p w14:paraId="5B7D9AFF">
      <w:pPr>
        <w:pStyle w:val="8"/>
        <w:keepNext w:val="0"/>
        <w:keepLines w:val="0"/>
        <w:pageBreakBefore w:val="0"/>
        <w:kinsoku/>
        <w:overflowPunct/>
        <w:topLinePunct w:val="0"/>
        <w:autoSpaceDE/>
        <w:autoSpaceDN/>
        <w:bidi w:val="0"/>
        <w:adjustRightInd/>
        <w:spacing w:line="500" w:lineRule="exact"/>
        <w:ind w:firstLine="435"/>
        <w:textAlignment w:val="auto"/>
        <w:rPr>
          <w:rFonts w:hint="eastAsia" w:ascii="宋体" w:hAnsi="宋体" w:eastAsia="宋体" w:cs="宋体"/>
          <w:color w:val="auto"/>
          <w:highlight w:val="none"/>
        </w:rPr>
      </w:pPr>
      <w:r>
        <w:rPr>
          <w:rFonts w:hint="eastAsia" w:ascii="宋体" w:hAnsi="宋体" w:eastAsia="宋体" w:cs="宋体"/>
          <w:color w:val="auto"/>
          <w:highlight w:val="none"/>
        </w:rPr>
        <w:t>（2）服务费指定银行账户：</w:t>
      </w:r>
    </w:p>
    <w:p w14:paraId="2CB86316">
      <w:pPr>
        <w:pStyle w:val="8"/>
        <w:keepNext w:val="0"/>
        <w:keepLines w:val="0"/>
        <w:pageBreakBefore w:val="0"/>
        <w:kinsoku/>
        <w:overflowPunct/>
        <w:topLinePunct w:val="0"/>
        <w:autoSpaceDE/>
        <w:autoSpaceDN/>
        <w:bidi w:val="0"/>
        <w:adjustRightInd/>
        <w:spacing w:line="500" w:lineRule="exact"/>
        <w:ind w:firstLine="435"/>
        <w:textAlignment w:val="auto"/>
        <w:rPr>
          <w:rFonts w:hint="eastAsia" w:ascii="宋体" w:hAnsi="宋体" w:eastAsia="宋体" w:cs="宋体"/>
          <w:color w:val="auto"/>
          <w:highlight w:val="none"/>
        </w:rPr>
      </w:pPr>
      <w:r>
        <w:rPr>
          <w:rFonts w:hint="eastAsia" w:ascii="宋体" w:hAnsi="宋体" w:eastAsia="宋体" w:cs="宋体"/>
          <w:color w:val="auto"/>
          <w:highlight w:val="none"/>
        </w:rPr>
        <w:t>开户名称：广西国建项目管理有限公司</w:t>
      </w:r>
    </w:p>
    <w:p w14:paraId="5B8E4024">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开户银行：广西北部湾银行股份有限公司南宁市江南支行</w:t>
      </w:r>
    </w:p>
    <w:p w14:paraId="0A077CAB">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银行账号：8001 1543 5100 037</w:t>
      </w:r>
    </w:p>
    <w:p w14:paraId="086B2DCA">
      <w:pPr>
        <w:keepNext w:val="0"/>
        <w:keepLines w:val="0"/>
        <w:pageBreakBefore w:val="0"/>
        <w:kinsoku/>
        <w:overflowPunct/>
        <w:topLinePunct w:val="0"/>
        <w:autoSpaceDE/>
        <w:autoSpaceDN/>
        <w:bidi w:val="0"/>
        <w:adjustRightInd/>
        <w:spacing w:line="5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szCs w:val="21"/>
          <w:highlight w:val="none"/>
        </w:rPr>
        <w:t>21.2</w:t>
      </w:r>
      <w:r>
        <w:rPr>
          <w:rFonts w:hint="eastAsia" w:ascii="宋体" w:hAnsi="宋体" w:eastAsia="宋体" w:cs="宋体"/>
          <w:b/>
          <w:color w:val="auto"/>
          <w:highlight w:val="none"/>
        </w:rPr>
        <w:t>解释权</w:t>
      </w:r>
    </w:p>
    <w:p w14:paraId="66AEA438">
      <w:pPr>
        <w:keepNext w:val="0"/>
        <w:keepLines w:val="0"/>
        <w:pageBreakBefore w:val="0"/>
        <w:kinsoku/>
        <w:overflowPunct/>
        <w:topLinePunct w:val="0"/>
        <w:autoSpaceDE/>
        <w:autoSpaceDN/>
        <w:bidi w:val="0"/>
        <w:adjustRightInd/>
        <w:spacing w:line="500" w:lineRule="exact"/>
        <w:ind w:firstLine="404" w:firstLineChars="200"/>
        <w:textAlignment w:val="auto"/>
        <w:rPr>
          <w:rFonts w:hint="eastAsia" w:ascii="宋体" w:hAnsi="宋体" w:eastAsia="宋体" w:cs="宋体"/>
          <w:color w:val="auto"/>
          <w:spacing w:val="-4"/>
          <w:highlight w:val="none"/>
        </w:rPr>
      </w:pPr>
      <w:r>
        <w:rPr>
          <w:rFonts w:hint="eastAsia" w:ascii="宋体" w:hAnsi="宋体" w:eastAsia="宋体" w:cs="宋体"/>
          <w:color w:val="auto"/>
          <w:spacing w:val="-4"/>
          <w:highlight w:val="none"/>
        </w:rPr>
        <w:t>本竞争性磋商文件是根据国家有关法律、法规以及政府采购管理的有关规定和参照国际惯例编制，解释权属本采购</w:t>
      </w:r>
      <w:r>
        <w:rPr>
          <w:rFonts w:hint="eastAsia" w:ascii="宋体" w:hAnsi="宋体" w:eastAsia="宋体" w:cs="宋体"/>
          <w:color w:val="auto"/>
          <w:spacing w:val="-4"/>
          <w:highlight w:val="none"/>
          <w:lang w:val="en-US" w:eastAsia="zh-CN"/>
        </w:rPr>
        <w:t>人</w:t>
      </w:r>
      <w:r>
        <w:rPr>
          <w:rFonts w:hint="eastAsia" w:ascii="宋体" w:hAnsi="宋体" w:eastAsia="宋体" w:cs="宋体"/>
          <w:color w:val="auto"/>
          <w:spacing w:val="-4"/>
          <w:highlight w:val="none"/>
        </w:rPr>
        <w:t>。</w:t>
      </w:r>
    </w:p>
    <w:p w14:paraId="51D6FCB9">
      <w:pPr>
        <w:keepNext w:val="0"/>
        <w:keepLines w:val="0"/>
        <w:pageBreakBefore w:val="0"/>
        <w:kinsoku/>
        <w:overflowPunct/>
        <w:topLinePunct w:val="0"/>
        <w:autoSpaceDE/>
        <w:autoSpaceDN/>
        <w:bidi w:val="0"/>
        <w:adjustRightInd/>
        <w:spacing w:line="500" w:lineRule="exact"/>
        <w:ind w:firstLine="422" w:firstLineChars="200"/>
        <w:textAlignment w:val="auto"/>
        <w:rPr>
          <w:rFonts w:hint="eastAsia" w:ascii="宋体" w:hAnsi="宋体" w:eastAsia="宋体" w:cs="宋体"/>
          <w:b/>
          <w:color w:val="auto"/>
          <w:highlight w:val="none"/>
        </w:rPr>
      </w:pPr>
      <w:r>
        <w:rPr>
          <w:rFonts w:hint="eastAsia" w:ascii="宋体" w:hAnsi="宋体" w:eastAsia="宋体" w:cs="宋体"/>
          <w:b/>
          <w:color w:val="auto"/>
          <w:szCs w:val="21"/>
          <w:highlight w:val="none"/>
        </w:rPr>
        <w:t>21.3</w:t>
      </w:r>
      <w:r>
        <w:rPr>
          <w:rFonts w:hint="eastAsia" w:ascii="宋体" w:hAnsi="宋体" w:eastAsia="宋体" w:cs="宋体"/>
          <w:b/>
          <w:color w:val="auto"/>
          <w:highlight w:val="none"/>
        </w:rPr>
        <w:t>有关事宜</w:t>
      </w:r>
    </w:p>
    <w:p w14:paraId="20FC0EF8">
      <w:pPr>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所有与本竞争性磋商文件有关的函电请按下列通讯地址联系：</w:t>
      </w:r>
    </w:p>
    <w:p w14:paraId="0862AE8F">
      <w:pPr>
        <w:pStyle w:val="8"/>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广西国建项目管理有限公司</w:t>
      </w:r>
    </w:p>
    <w:p w14:paraId="3C149E80">
      <w:pPr>
        <w:pStyle w:val="8"/>
        <w:keepNext w:val="0"/>
        <w:keepLines w:val="0"/>
        <w:pageBreakBefore w:val="0"/>
        <w:tabs>
          <w:tab w:val="left" w:pos="1990"/>
        </w:tabs>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highlight w:val="none"/>
          <w:u w:val="single"/>
          <w:lang w:val="en-US" w:eastAsia="zh-CN"/>
        </w:rPr>
      </w:pPr>
      <w:r>
        <w:rPr>
          <w:rFonts w:hint="eastAsia" w:ascii="宋体" w:hAnsi="宋体" w:eastAsia="宋体" w:cs="宋体"/>
          <w:color w:val="auto"/>
          <w:highlight w:val="none"/>
        </w:rPr>
        <w:t>邮政编码：5300</w:t>
      </w:r>
      <w:r>
        <w:rPr>
          <w:rFonts w:hint="eastAsia" w:ascii="宋体" w:hAnsi="宋体" w:eastAsia="宋体" w:cs="宋体"/>
          <w:color w:val="auto"/>
          <w:highlight w:val="none"/>
          <w:lang w:val="en-US" w:eastAsia="zh-CN"/>
        </w:rPr>
        <w:t>31</w:t>
      </w:r>
    </w:p>
    <w:p w14:paraId="7BB511D2">
      <w:pPr>
        <w:pStyle w:val="8"/>
        <w:keepNext w:val="0"/>
        <w:keepLines w:val="0"/>
        <w:pageBreakBefore w:val="0"/>
        <w:tabs>
          <w:tab w:val="left" w:pos="1990"/>
        </w:tabs>
        <w:kinsoku/>
        <w:overflowPunct/>
        <w:topLinePunct w:val="0"/>
        <w:autoSpaceDE/>
        <w:autoSpaceDN/>
        <w:bidi w:val="0"/>
        <w:adjustRightInd/>
        <w:spacing w:line="500" w:lineRule="exact"/>
        <w:ind w:firstLine="420" w:firstLineChars="200"/>
        <w:textAlignment w:val="auto"/>
        <w:rPr>
          <w:rFonts w:hint="eastAsia" w:ascii="宋体" w:hAnsi="宋体" w:eastAsia="宋体" w:cs="宋体"/>
          <w:color w:val="auto"/>
          <w:spacing w:val="-4"/>
          <w:highlight w:val="none"/>
        </w:rPr>
      </w:pPr>
      <w:r>
        <w:rPr>
          <w:rFonts w:hint="eastAsia" w:ascii="宋体" w:hAnsi="宋体" w:eastAsia="宋体" w:cs="宋体"/>
          <w:color w:val="auto"/>
          <w:highlight w:val="none"/>
        </w:rPr>
        <w:t>通讯地址：广西南宁市白沙大道53号松宇时代17楼</w:t>
      </w:r>
    </w:p>
    <w:p w14:paraId="214A8432">
      <w:pPr>
        <w:pStyle w:val="8"/>
        <w:keepNext w:val="0"/>
        <w:keepLines w:val="0"/>
        <w:pageBreakBefore w:val="0"/>
        <w:kinsoku/>
        <w:overflowPunct/>
        <w:topLinePunct w:val="0"/>
        <w:autoSpaceDE/>
        <w:autoSpaceDN/>
        <w:bidi w:val="0"/>
        <w:adjustRightInd/>
        <w:spacing w:line="500" w:lineRule="exact"/>
        <w:ind w:firstLine="420" w:firstLineChars="200"/>
        <w:textAlignment w:val="auto"/>
        <w:rPr>
          <w:rFonts w:hint="eastAsia" w:ascii="宋体" w:hAnsi="宋体" w:eastAsia="宋体" w:cs="宋体"/>
          <w:b/>
          <w:color w:val="auto"/>
          <w:sz w:val="32"/>
          <w:szCs w:val="32"/>
          <w:highlight w:val="none"/>
          <w:lang w:val="en-US" w:eastAsia="zh-CN"/>
        </w:rPr>
      </w:pPr>
      <w:r>
        <w:rPr>
          <w:rFonts w:hint="eastAsia" w:ascii="宋体" w:hAnsi="宋体" w:eastAsia="宋体" w:cs="宋体"/>
          <w:color w:val="auto"/>
          <w:highlight w:val="none"/>
        </w:rPr>
        <w:t>电    话：0771—49155</w:t>
      </w:r>
      <w:r>
        <w:rPr>
          <w:rFonts w:hint="eastAsia" w:ascii="宋体" w:hAnsi="宋体" w:eastAsia="宋体" w:cs="宋体"/>
          <w:color w:val="auto"/>
          <w:highlight w:val="none"/>
          <w:lang w:val="en-US" w:eastAsia="zh-CN"/>
        </w:rPr>
        <w:t>33</w:t>
      </w:r>
    </w:p>
    <w:p w14:paraId="4383FBD2">
      <w:pPr>
        <w:spacing w:line="360" w:lineRule="auto"/>
        <w:jc w:val="center"/>
        <w:rPr>
          <w:rFonts w:hint="eastAsia" w:ascii="宋体" w:hAnsi="宋体" w:eastAsia="宋体" w:cs="宋体"/>
          <w:b/>
          <w:color w:val="auto"/>
          <w:sz w:val="32"/>
          <w:szCs w:val="32"/>
          <w:highlight w:val="none"/>
        </w:rPr>
      </w:pPr>
    </w:p>
    <w:p w14:paraId="1283B3E4">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1A5F8EE5">
      <w:pPr>
        <w:spacing w:line="360" w:lineRule="auto"/>
        <w:jc w:val="center"/>
        <w:rPr>
          <w:rFonts w:hint="eastAsia" w:ascii="宋体" w:hAnsi="宋体" w:eastAsia="宋体" w:cs="宋体"/>
          <w:b/>
          <w:color w:val="auto"/>
          <w:sz w:val="32"/>
          <w:szCs w:val="32"/>
          <w:highlight w:val="none"/>
        </w:rPr>
      </w:pPr>
    </w:p>
    <w:p w14:paraId="047FB371">
      <w:pPr>
        <w:spacing w:line="360" w:lineRule="auto"/>
        <w:jc w:val="center"/>
        <w:rPr>
          <w:rFonts w:hint="eastAsia" w:ascii="宋体" w:hAnsi="宋体" w:eastAsia="宋体" w:cs="宋体"/>
          <w:b/>
          <w:color w:val="auto"/>
          <w:sz w:val="32"/>
          <w:szCs w:val="32"/>
          <w:highlight w:val="none"/>
        </w:rPr>
      </w:pPr>
    </w:p>
    <w:p w14:paraId="16D8C4EB">
      <w:pPr>
        <w:spacing w:line="360" w:lineRule="auto"/>
        <w:jc w:val="center"/>
        <w:rPr>
          <w:rFonts w:hint="eastAsia" w:ascii="宋体" w:hAnsi="宋体" w:eastAsia="宋体" w:cs="宋体"/>
          <w:b/>
          <w:color w:val="auto"/>
          <w:sz w:val="32"/>
          <w:szCs w:val="32"/>
          <w:highlight w:val="none"/>
        </w:rPr>
      </w:pPr>
    </w:p>
    <w:p w14:paraId="5D52C9A0">
      <w:pPr>
        <w:spacing w:line="360" w:lineRule="auto"/>
        <w:jc w:val="center"/>
        <w:rPr>
          <w:rFonts w:hint="eastAsia" w:ascii="宋体" w:hAnsi="宋体" w:eastAsia="宋体" w:cs="宋体"/>
          <w:b/>
          <w:color w:val="auto"/>
          <w:sz w:val="32"/>
          <w:szCs w:val="32"/>
          <w:highlight w:val="none"/>
        </w:rPr>
      </w:pPr>
    </w:p>
    <w:p w14:paraId="66C50C85">
      <w:pPr>
        <w:spacing w:line="360" w:lineRule="auto"/>
        <w:rPr>
          <w:rFonts w:hint="eastAsia" w:ascii="宋体" w:hAnsi="宋体" w:eastAsia="宋体" w:cs="宋体"/>
          <w:b/>
          <w:color w:val="auto"/>
          <w:sz w:val="32"/>
          <w:szCs w:val="32"/>
          <w:highlight w:val="none"/>
        </w:rPr>
      </w:pPr>
    </w:p>
    <w:p w14:paraId="46052E24">
      <w:pPr>
        <w:pStyle w:val="12"/>
        <w:spacing w:line="360" w:lineRule="auto"/>
        <w:rPr>
          <w:rFonts w:hint="eastAsia" w:ascii="宋体" w:hAnsi="宋体" w:eastAsia="宋体" w:cs="宋体"/>
          <w:color w:val="auto"/>
          <w:sz w:val="44"/>
          <w:szCs w:val="44"/>
          <w:highlight w:val="none"/>
        </w:rPr>
      </w:pPr>
      <w:bookmarkStart w:id="37" w:name="_Toc22263"/>
      <w:bookmarkStart w:id="38" w:name="_Toc476258664"/>
      <w:r>
        <w:rPr>
          <w:rFonts w:hint="eastAsia" w:ascii="宋体" w:hAnsi="宋体" w:eastAsia="宋体" w:cs="宋体"/>
          <w:color w:val="auto"/>
          <w:sz w:val="44"/>
          <w:szCs w:val="44"/>
          <w:highlight w:val="none"/>
        </w:rPr>
        <w:t>第三章  采购需求</w:t>
      </w:r>
      <w:bookmarkEnd w:id="37"/>
      <w:bookmarkEnd w:id="38"/>
    </w:p>
    <w:p w14:paraId="503F770D">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采购项目技术规格、参数及要求</w:t>
      </w:r>
    </w:p>
    <w:p w14:paraId="546ED8C8">
      <w:pPr>
        <w:keepNext w:val="0"/>
        <w:keepLines w:val="0"/>
        <w:pageBreakBefore w:val="0"/>
        <w:tabs>
          <w:tab w:val="left" w:pos="180"/>
          <w:tab w:val="left" w:pos="1620"/>
        </w:tabs>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Cs w:val="21"/>
          <w:highlight w:val="none"/>
          <w:u w:val="single"/>
          <w:lang w:eastAsia="zh-CN"/>
        </w:rPr>
      </w:pPr>
      <w:r>
        <w:rPr>
          <w:rFonts w:hint="eastAsia" w:ascii="宋体" w:hAnsi="宋体" w:eastAsia="宋体" w:cs="宋体"/>
          <w:color w:val="auto"/>
          <w:szCs w:val="21"/>
          <w:highlight w:val="none"/>
        </w:rPr>
        <w:t>一、采购项目编号：</w:t>
      </w:r>
      <w:r>
        <w:rPr>
          <w:rFonts w:hint="eastAsia" w:ascii="宋体" w:hAnsi="宋体" w:eastAsia="宋体" w:cs="宋体"/>
          <w:color w:val="auto"/>
          <w:szCs w:val="21"/>
          <w:highlight w:val="none"/>
          <w:lang w:eastAsia="zh-CN"/>
        </w:rPr>
        <w:t>GXGJ2026-C0133-S</w:t>
      </w:r>
    </w:p>
    <w:p w14:paraId="79898E5A">
      <w:pPr>
        <w:keepNext w:val="0"/>
        <w:keepLines w:val="0"/>
        <w:pageBreakBefore w:val="0"/>
        <w:tabs>
          <w:tab w:val="left" w:pos="180"/>
          <w:tab w:val="left" w:pos="1620"/>
        </w:tabs>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二、采购项目类别：</w:t>
      </w:r>
      <w:r>
        <w:rPr>
          <w:rFonts w:hint="eastAsia" w:ascii="宋体" w:hAnsi="宋体" w:eastAsia="宋体" w:cs="宋体"/>
          <w:color w:val="auto"/>
          <w:szCs w:val="21"/>
          <w:highlight w:val="none"/>
          <w:u w:val="single"/>
        </w:rPr>
        <w:t xml:space="preserve">  服务类  </w:t>
      </w:r>
    </w:p>
    <w:p w14:paraId="3CB3C892">
      <w:pPr>
        <w:keepNext w:val="0"/>
        <w:keepLines w:val="0"/>
        <w:pageBreakBefore w:val="0"/>
        <w:tabs>
          <w:tab w:val="left" w:pos="180"/>
          <w:tab w:val="left" w:pos="1620"/>
        </w:tabs>
        <w:kinsoku/>
        <w:wordWrap/>
        <w:overflowPunct/>
        <w:topLinePunct w:val="0"/>
        <w:autoSpaceDE/>
        <w:autoSpaceDN/>
        <w:bidi w:val="0"/>
        <w:adjustRightInd/>
        <w:snapToGrid/>
        <w:spacing w:line="24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三、采购需求一览表</w:t>
      </w:r>
    </w:p>
    <w:p w14:paraId="5B579876">
      <w:pPr>
        <w:keepNext w:val="0"/>
        <w:keepLines w:val="0"/>
        <w:pageBreakBefore w:val="0"/>
        <w:kinsoku/>
        <w:wordWrap/>
        <w:overflowPunct/>
        <w:topLinePunct w:val="0"/>
        <w:autoSpaceDE/>
        <w:autoSpaceDN/>
        <w:bidi w:val="0"/>
        <w:adjustRightInd/>
        <w:snapToGrid/>
        <w:spacing w:line="240" w:lineRule="auto"/>
        <w:ind w:firstLine="437"/>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6B6D98B2">
      <w:pPr>
        <w:keepNext w:val="0"/>
        <w:keepLines w:val="0"/>
        <w:pageBreakBefore w:val="0"/>
        <w:kinsoku/>
        <w:wordWrap/>
        <w:overflowPunct/>
        <w:topLinePunct w:val="0"/>
        <w:autoSpaceDE/>
        <w:autoSpaceDN/>
        <w:bidi w:val="0"/>
        <w:adjustRightInd/>
        <w:snapToGrid/>
        <w:spacing w:line="240" w:lineRule="auto"/>
        <w:ind w:firstLine="437"/>
        <w:textAlignment w:val="auto"/>
        <w:rPr>
          <w:rFonts w:hint="eastAsia" w:ascii="宋体" w:hAnsi="宋体" w:eastAsia="宋体" w:cs="宋体"/>
          <w:b/>
          <w:color w:val="auto"/>
          <w:highlight w:val="none"/>
        </w:rPr>
      </w:pPr>
      <w:r>
        <w:rPr>
          <w:rFonts w:hint="eastAsia" w:ascii="宋体" w:hAnsi="宋体" w:eastAsia="宋体" w:cs="宋体"/>
          <w:color w:val="auto"/>
          <w:szCs w:val="21"/>
          <w:highlight w:val="none"/>
        </w:rPr>
        <w:t>1、本项目需求表中打“▲”及表述为“须”或“必须”的条款均为实质性要求或条件，供应商必须作出满足或者优于该要求和条件的承诺，否则响应文件无效。</w:t>
      </w:r>
    </w:p>
    <w:tbl>
      <w:tblPr>
        <w:tblStyle w:val="13"/>
        <w:tblW w:w="9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1558"/>
        <w:gridCol w:w="708"/>
        <w:gridCol w:w="709"/>
        <w:gridCol w:w="6206"/>
      </w:tblGrid>
      <w:tr w14:paraId="5C609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1" w:type="dxa"/>
            <w:tcBorders>
              <w:top w:val="single" w:color="auto" w:sz="4" w:space="0"/>
              <w:left w:val="single" w:color="auto" w:sz="4" w:space="0"/>
              <w:bottom w:val="single" w:color="auto" w:sz="4" w:space="0"/>
              <w:right w:val="single" w:color="auto" w:sz="4" w:space="0"/>
            </w:tcBorders>
            <w:noWrap w:val="0"/>
            <w:vAlign w:val="center"/>
          </w:tcPr>
          <w:p w14:paraId="3614D02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项号</w:t>
            </w:r>
          </w:p>
        </w:tc>
        <w:tc>
          <w:tcPr>
            <w:tcW w:w="1558" w:type="dxa"/>
            <w:tcBorders>
              <w:top w:val="single" w:color="auto" w:sz="4" w:space="0"/>
              <w:left w:val="single" w:color="auto" w:sz="4" w:space="0"/>
              <w:bottom w:val="single" w:color="auto" w:sz="4" w:space="0"/>
              <w:right w:val="single" w:color="auto" w:sz="4" w:space="0"/>
            </w:tcBorders>
            <w:noWrap w:val="0"/>
            <w:vAlign w:val="center"/>
          </w:tcPr>
          <w:p w14:paraId="7B93EE3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标的名称</w:t>
            </w:r>
          </w:p>
        </w:tc>
        <w:tc>
          <w:tcPr>
            <w:tcW w:w="708" w:type="dxa"/>
            <w:tcBorders>
              <w:top w:val="single" w:color="auto" w:sz="4" w:space="0"/>
              <w:left w:val="single" w:color="auto" w:sz="4" w:space="0"/>
              <w:bottom w:val="single" w:color="auto" w:sz="4" w:space="0"/>
              <w:right w:val="single" w:color="auto" w:sz="4" w:space="0"/>
            </w:tcBorders>
            <w:noWrap w:val="0"/>
            <w:vAlign w:val="center"/>
          </w:tcPr>
          <w:p w14:paraId="575AE5E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2818C23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单位</w:t>
            </w:r>
          </w:p>
        </w:tc>
        <w:tc>
          <w:tcPr>
            <w:tcW w:w="6206" w:type="dxa"/>
            <w:tcBorders>
              <w:top w:val="single" w:color="auto" w:sz="4" w:space="0"/>
              <w:left w:val="single" w:color="auto" w:sz="4" w:space="0"/>
              <w:bottom w:val="single" w:color="auto" w:sz="4" w:space="0"/>
              <w:right w:val="single" w:color="auto" w:sz="4" w:space="0"/>
            </w:tcBorders>
            <w:noWrap w:val="0"/>
            <w:vAlign w:val="center"/>
          </w:tcPr>
          <w:p w14:paraId="671DB8B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内容和要求</w:t>
            </w:r>
          </w:p>
        </w:tc>
      </w:tr>
      <w:tr w14:paraId="67EB4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9" w:hRule="atLeast"/>
          <w:jc w:val="center"/>
        </w:trPr>
        <w:tc>
          <w:tcPr>
            <w:tcW w:w="681" w:type="dxa"/>
            <w:tcBorders>
              <w:top w:val="single" w:color="auto" w:sz="4" w:space="0"/>
              <w:left w:val="single" w:color="auto" w:sz="4" w:space="0"/>
              <w:bottom w:val="single" w:color="auto" w:sz="4" w:space="0"/>
              <w:right w:val="single" w:color="auto" w:sz="4" w:space="0"/>
            </w:tcBorders>
            <w:noWrap w:val="0"/>
            <w:vAlign w:val="center"/>
          </w:tcPr>
          <w:p w14:paraId="4B2AFCD6">
            <w:pPr>
              <w:keepNext w:val="0"/>
              <w:keepLines w:val="0"/>
              <w:pageBreakBefore w:val="0"/>
              <w:numPr>
                <w:ilvl w:val="0"/>
                <w:numId w:val="2"/>
              </w:numPr>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21"/>
                <w:szCs w:val="21"/>
                <w:highlight w:val="none"/>
              </w:rPr>
            </w:pPr>
          </w:p>
        </w:tc>
        <w:tc>
          <w:tcPr>
            <w:tcW w:w="1558" w:type="dxa"/>
            <w:tcBorders>
              <w:top w:val="single" w:color="auto" w:sz="4" w:space="0"/>
              <w:left w:val="single" w:color="auto" w:sz="4" w:space="0"/>
              <w:bottom w:val="single" w:color="auto" w:sz="4" w:space="0"/>
              <w:right w:val="single" w:color="auto" w:sz="4" w:space="0"/>
            </w:tcBorders>
            <w:noWrap w:val="0"/>
            <w:vAlign w:val="center"/>
          </w:tcPr>
          <w:p w14:paraId="60F6395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南宁市朱槿商业保理有限公司主体信用评级项目</w:t>
            </w:r>
          </w:p>
        </w:tc>
        <w:tc>
          <w:tcPr>
            <w:tcW w:w="708" w:type="dxa"/>
            <w:tcBorders>
              <w:top w:val="single" w:color="auto" w:sz="4" w:space="0"/>
              <w:left w:val="single" w:color="auto" w:sz="4" w:space="0"/>
              <w:bottom w:val="single" w:color="auto" w:sz="4" w:space="0"/>
              <w:right w:val="single" w:color="auto" w:sz="4" w:space="0"/>
            </w:tcBorders>
            <w:noWrap w:val="0"/>
            <w:vAlign w:val="center"/>
          </w:tcPr>
          <w:p w14:paraId="7290F35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709" w:type="dxa"/>
            <w:tcBorders>
              <w:top w:val="single" w:color="auto" w:sz="4" w:space="0"/>
              <w:left w:val="single" w:color="auto" w:sz="4" w:space="0"/>
              <w:bottom w:val="single" w:color="auto" w:sz="4" w:space="0"/>
              <w:right w:val="single" w:color="auto" w:sz="4" w:space="0"/>
            </w:tcBorders>
            <w:noWrap w:val="0"/>
            <w:vAlign w:val="center"/>
          </w:tcPr>
          <w:p w14:paraId="7125450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w:t>
            </w:r>
          </w:p>
        </w:tc>
        <w:tc>
          <w:tcPr>
            <w:tcW w:w="6206" w:type="dxa"/>
            <w:tcBorders>
              <w:top w:val="single" w:color="auto" w:sz="4" w:space="0"/>
              <w:left w:val="single" w:color="auto" w:sz="4" w:space="0"/>
              <w:right w:val="single" w:color="auto" w:sz="4" w:space="0"/>
            </w:tcBorders>
            <w:noWrap w:val="0"/>
            <w:vAlign w:val="top"/>
          </w:tcPr>
          <w:p w14:paraId="6FAFA14F">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服务内容：对采购人主体开展尽职调查、信用评级，出具正式主体信用评级报告；提供年度跟踪评级服务，满足银行间市场、证券市场融资监管要求。</w:t>
            </w:r>
          </w:p>
          <w:p w14:paraId="5C36FB4F">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2.服务范围：首次主体评级、年度跟踪评级（若有）、</w:t>
            </w:r>
            <w:r>
              <w:rPr>
                <w:rFonts w:hint="eastAsia" w:ascii="宋体" w:hAnsi="宋体" w:eastAsia="宋体" w:cs="宋体"/>
                <w:color w:val="auto"/>
                <w:szCs w:val="21"/>
                <w:highlight w:val="none"/>
              </w:rPr>
              <w:t>在评级过程中遵循监管机构、自律性组织及乙方内部规定的业务流程、方法开展评级工作、出具信用评级结果及信用评级报告</w:t>
            </w:r>
            <w:r>
              <w:rPr>
                <w:rFonts w:hint="eastAsia" w:ascii="宋体" w:hAnsi="宋体" w:eastAsia="宋体" w:cs="宋体"/>
                <w:color w:val="auto"/>
                <w:sz w:val="21"/>
                <w:szCs w:val="21"/>
                <w:highlight w:val="none"/>
                <w:lang w:val="en-US" w:eastAsia="zh-CN"/>
              </w:rPr>
              <w:t>。</w:t>
            </w:r>
          </w:p>
          <w:p w14:paraId="73BA9332">
            <w:pPr>
              <w:keepNext w:val="0"/>
              <w:keepLines w:val="0"/>
              <w:pageBreakBefore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3.交付成果：正式中文评级报告（满足监管报送）、跟踪评级报告（若有）等。</w:t>
            </w:r>
          </w:p>
        </w:tc>
      </w:tr>
      <w:tr w14:paraId="445BC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1" w:type="dxa"/>
            <w:tcBorders>
              <w:top w:val="single" w:color="auto" w:sz="4" w:space="0"/>
              <w:left w:val="single" w:color="auto" w:sz="4" w:space="0"/>
              <w:bottom w:val="single" w:color="auto" w:sz="4" w:space="0"/>
              <w:right w:val="single" w:color="auto" w:sz="4" w:space="0"/>
            </w:tcBorders>
            <w:noWrap w:val="0"/>
            <w:vAlign w:val="center"/>
          </w:tcPr>
          <w:p w14:paraId="2973C2DD">
            <w:pPr>
              <w:keepNext w:val="0"/>
              <w:keepLines w:val="0"/>
              <w:pageBreakBefore w:val="0"/>
              <w:tabs>
                <w:tab w:val="left" w:pos="180"/>
                <w:tab w:val="left" w:pos="1620"/>
              </w:tabs>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商</w:t>
            </w:r>
          </w:p>
          <w:p w14:paraId="3BE43283">
            <w:pPr>
              <w:keepNext w:val="0"/>
              <w:keepLines w:val="0"/>
              <w:pageBreakBefore w:val="0"/>
              <w:tabs>
                <w:tab w:val="left" w:pos="180"/>
                <w:tab w:val="left" w:pos="1620"/>
              </w:tabs>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务</w:t>
            </w:r>
          </w:p>
          <w:p w14:paraId="597C9078">
            <w:pPr>
              <w:keepNext w:val="0"/>
              <w:keepLines w:val="0"/>
              <w:pageBreakBefore w:val="0"/>
              <w:tabs>
                <w:tab w:val="left" w:pos="180"/>
                <w:tab w:val="left" w:pos="1620"/>
              </w:tabs>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要</w:t>
            </w:r>
          </w:p>
          <w:p w14:paraId="3B0FDD0C">
            <w:pPr>
              <w:keepNext w:val="0"/>
              <w:keepLines w:val="0"/>
              <w:pageBreakBefore w:val="0"/>
              <w:tabs>
                <w:tab w:val="left" w:pos="180"/>
                <w:tab w:val="left" w:pos="1620"/>
              </w:tabs>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求</w:t>
            </w:r>
          </w:p>
          <w:p w14:paraId="75141B03">
            <w:pPr>
              <w:keepNext w:val="0"/>
              <w:keepLines w:val="0"/>
              <w:pageBreakBefore w:val="0"/>
              <w:tabs>
                <w:tab w:val="left" w:pos="180"/>
                <w:tab w:val="left" w:pos="1620"/>
              </w:tabs>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表</w:t>
            </w:r>
          </w:p>
        </w:tc>
        <w:tc>
          <w:tcPr>
            <w:tcW w:w="9181" w:type="dxa"/>
            <w:gridSpan w:val="4"/>
            <w:tcBorders>
              <w:top w:val="single" w:color="auto" w:sz="4" w:space="0"/>
              <w:left w:val="single" w:color="auto" w:sz="4" w:space="0"/>
              <w:bottom w:val="single" w:color="auto" w:sz="4" w:space="0"/>
              <w:right w:val="single" w:color="auto" w:sz="4" w:space="0"/>
            </w:tcBorders>
            <w:noWrap w:val="0"/>
            <w:vAlign w:val="center"/>
          </w:tcPr>
          <w:p w14:paraId="3A037AB8">
            <w:pPr>
              <w:keepNext w:val="0"/>
              <w:keepLines w:val="0"/>
              <w:pageBreakBefore w:val="0"/>
              <w:tabs>
                <w:tab w:val="left" w:pos="180"/>
                <w:tab w:val="left" w:pos="1620"/>
              </w:tabs>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lang w:val="en-US" w:eastAsia="zh-CN"/>
              </w:rPr>
              <w:t>一、</w:t>
            </w:r>
            <w:r>
              <w:rPr>
                <w:rFonts w:hint="eastAsia" w:ascii="宋体" w:hAnsi="宋体" w:eastAsia="宋体" w:cs="宋体"/>
                <w:color w:val="auto"/>
                <w:sz w:val="21"/>
                <w:szCs w:val="21"/>
                <w:highlight w:val="none"/>
              </w:rPr>
              <w:t>签订合同时间：自成交通知书发出之日起25日内。</w:t>
            </w:r>
          </w:p>
          <w:p w14:paraId="6BF560ED">
            <w:pPr>
              <w:keepNext w:val="0"/>
              <w:keepLines w:val="0"/>
              <w:pageBreakBefore w:val="0"/>
              <w:tabs>
                <w:tab w:val="left" w:pos="180"/>
                <w:tab w:val="left" w:pos="1620"/>
              </w:tabs>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二、服务期限</w:t>
            </w:r>
            <w:r>
              <w:rPr>
                <w:rFonts w:hint="eastAsia" w:ascii="宋体" w:hAnsi="宋体" w:eastAsia="宋体" w:cs="宋体"/>
                <w:color w:val="auto"/>
                <w:sz w:val="21"/>
                <w:szCs w:val="21"/>
                <w:highlight w:val="none"/>
                <w:lang w:val="en-US" w:eastAsia="zh-CN"/>
              </w:rPr>
              <w:t>及地点</w:t>
            </w:r>
          </w:p>
          <w:p w14:paraId="30E1406F">
            <w:pPr>
              <w:keepNext w:val="0"/>
              <w:keepLines w:val="0"/>
              <w:pageBreakBefore w:val="0"/>
              <w:tabs>
                <w:tab w:val="left" w:pos="180"/>
                <w:tab w:val="left" w:pos="1620"/>
              </w:tabs>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▲服务期限</w:t>
            </w:r>
            <w:r>
              <w:rPr>
                <w:rFonts w:hint="eastAsia" w:ascii="宋体" w:hAnsi="宋体" w:eastAsia="宋体" w:cs="宋体"/>
                <w:color w:val="auto"/>
                <w:sz w:val="21"/>
                <w:szCs w:val="21"/>
                <w:highlight w:val="none"/>
              </w:rPr>
              <w:t>：自合同签订并具备工作条件之日起</w:t>
            </w:r>
            <w:r>
              <w:rPr>
                <w:rFonts w:hint="eastAsia" w:ascii="宋体" w:hAnsi="宋体" w:eastAsia="宋体" w:cs="宋体"/>
                <w:color w:val="auto"/>
                <w:sz w:val="21"/>
                <w:szCs w:val="21"/>
                <w:highlight w:val="none"/>
                <w:lang w:val="en-US" w:eastAsia="zh-CN"/>
              </w:rPr>
              <w:t>1年</w:t>
            </w:r>
            <w:r>
              <w:rPr>
                <w:rFonts w:hint="eastAsia" w:ascii="宋体" w:hAnsi="宋体" w:eastAsia="宋体" w:cs="宋体"/>
                <w:color w:val="auto"/>
                <w:sz w:val="21"/>
                <w:szCs w:val="21"/>
                <w:highlight w:val="none"/>
              </w:rPr>
              <w:t>。</w:t>
            </w:r>
          </w:p>
          <w:p w14:paraId="0BCD5476">
            <w:pPr>
              <w:keepNext w:val="0"/>
              <w:keepLines w:val="0"/>
              <w:pageBreakBefore w:val="0"/>
              <w:tabs>
                <w:tab w:val="left" w:pos="180"/>
                <w:tab w:val="left" w:pos="1620"/>
              </w:tabs>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地点：广西区内（采购人指定地点）。</w:t>
            </w:r>
          </w:p>
          <w:p w14:paraId="654A12D0">
            <w:pPr>
              <w:keepNext w:val="0"/>
              <w:keepLines w:val="0"/>
              <w:pageBreakBefore w:val="0"/>
              <w:tabs>
                <w:tab w:val="left" w:pos="180"/>
                <w:tab w:val="left" w:pos="1620"/>
              </w:tabs>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三、报价要求</w:t>
            </w:r>
          </w:p>
          <w:p w14:paraId="5A1904CC">
            <w:pPr>
              <w:keepNext w:val="0"/>
              <w:keepLines w:val="0"/>
              <w:pageBreakBefore w:val="0"/>
              <w:tabs>
                <w:tab w:val="left" w:pos="180"/>
                <w:tab w:val="left" w:pos="1620"/>
              </w:tabs>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包干报价，含尽职调查、报告编制、跟踪评级、税费等全部费用。</w:t>
            </w:r>
          </w:p>
          <w:p w14:paraId="143B4918">
            <w:pPr>
              <w:keepNext w:val="0"/>
              <w:keepLines w:val="0"/>
              <w:pageBreakBefore w:val="0"/>
              <w:tabs>
                <w:tab w:val="left" w:pos="180"/>
                <w:tab w:val="left" w:pos="1620"/>
              </w:tabs>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四、</w:t>
            </w:r>
            <w:r>
              <w:rPr>
                <w:rFonts w:hint="eastAsia" w:ascii="宋体" w:hAnsi="宋体" w:eastAsia="宋体" w:cs="宋体"/>
                <w:color w:val="auto"/>
                <w:sz w:val="21"/>
                <w:szCs w:val="21"/>
                <w:highlight w:val="none"/>
              </w:rPr>
              <w:t>付款条件</w:t>
            </w:r>
          </w:p>
          <w:p w14:paraId="06842E6F">
            <w:pPr>
              <w:keepNext w:val="0"/>
              <w:keepLines w:val="0"/>
              <w:pageBreakBefore w:val="0"/>
              <w:tabs>
                <w:tab w:val="left" w:pos="180"/>
                <w:tab w:val="left" w:pos="1620"/>
              </w:tabs>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合同签订后，由</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一次性付清</w:t>
            </w:r>
            <w:r>
              <w:rPr>
                <w:rFonts w:hint="eastAsia" w:ascii="宋体" w:hAnsi="宋体" w:eastAsia="宋体" w:cs="宋体"/>
                <w:color w:val="auto"/>
                <w:sz w:val="21"/>
                <w:szCs w:val="21"/>
                <w:highlight w:val="none"/>
                <w:lang w:val="en-US" w:eastAsia="zh-CN"/>
              </w:rPr>
              <w:t>合同款</w:t>
            </w:r>
            <w:r>
              <w:rPr>
                <w:rFonts w:hint="eastAsia" w:ascii="宋体" w:hAnsi="宋体" w:eastAsia="宋体" w:cs="宋体"/>
                <w:color w:val="auto"/>
                <w:sz w:val="21"/>
                <w:szCs w:val="21"/>
                <w:highlight w:val="none"/>
              </w:rPr>
              <w:t>。</w:t>
            </w:r>
          </w:p>
          <w:p w14:paraId="3D6069D4">
            <w:pPr>
              <w:keepNext w:val="0"/>
              <w:keepLines w:val="0"/>
              <w:pageBreakBefore w:val="0"/>
              <w:tabs>
                <w:tab w:val="left" w:pos="180"/>
                <w:tab w:val="left" w:pos="1620"/>
              </w:tabs>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五、</w:t>
            </w:r>
            <w:r>
              <w:rPr>
                <w:rFonts w:hint="eastAsia" w:ascii="宋体" w:hAnsi="宋体" w:eastAsia="宋体" w:cs="宋体"/>
                <w:color w:val="auto"/>
                <w:sz w:val="21"/>
                <w:szCs w:val="21"/>
                <w:highlight w:val="none"/>
                <w:shd w:val="clear" w:color="auto" w:fill="auto"/>
              </w:rPr>
              <w:t>验收</w:t>
            </w:r>
            <w:r>
              <w:rPr>
                <w:rFonts w:hint="eastAsia" w:ascii="宋体" w:hAnsi="宋体" w:eastAsia="宋体" w:cs="宋体"/>
                <w:color w:val="auto"/>
                <w:sz w:val="21"/>
                <w:szCs w:val="21"/>
                <w:highlight w:val="none"/>
                <w:shd w:val="clear" w:color="auto" w:fill="auto"/>
                <w:lang w:val="en-US" w:eastAsia="zh-CN"/>
              </w:rPr>
              <w:t>要求</w:t>
            </w:r>
            <w:r>
              <w:rPr>
                <w:rFonts w:hint="eastAsia" w:ascii="宋体" w:hAnsi="宋体" w:eastAsia="宋体" w:cs="宋体"/>
                <w:color w:val="auto"/>
                <w:sz w:val="21"/>
                <w:szCs w:val="21"/>
                <w:highlight w:val="none"/>
                <w:shd w:val="clear" w:color="auto" w:fill="auto"/>
              </w:rPr>
              <w:t>：</w:t>
            </w:r>
          </w:p>
          <w:p w14:paraId="63F3A06A">
            <w:pPr>
              <w:keepNext w:val="0"/>
              <w:keepLines w:val="0"/>
              <w:pageBreakBefore w:val="0"/>
              <w:tabs>
                <w:tab w:val="left" w:pos="180"/>
                <w:tab w:val="left" w:pos="1620"/>
              </w:tabs>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lang w:val="en-US" w:eastAsia="zh-CN"/>
              </w:rPr>
              <w:t>1.</w:t>
            </w:r>
            <w:r>
              <w:rPr>
                <w:rFonts w:hint="eastAsia" w:ascii="宋体" w:hAnsi="宋体" w:eastAsia="宋体" w:cs="宋体"/>
                <w:color w:val="auto"/>
                <w:sz w:val="21"/>
                <w:szCs w:val="21"/>
                <w:highlight w:val="none"/>
                <w:shd w:val="clear" w:color="auto" w:fill="auto"/>
              </w:rPr>
              <w:t>按</w:t>
            </w:r>
            <w:r>
              <w:rPr>
                <w:rFonts w:hint="eastAsia" w:ascii="宋体" w:hAnsi="宋体" w:eastAsia="宋体" w:cs="宋体"/>
                <w:color w:val="auto"/>
                <w:sz w:val="21"/>
                <w:szCs w:val="21"/>
                <w:highlight w:val="none"/>
                <w:shd w:val="clear" w:color="auto" w:fill="auto"/>
                <w:lang w:val="en-US" w:eastAsia="zh-CN"/>
              </w:rPr>
              <w:t>采购文件</w:t>
            </w:r>
            <w:r>
              <w:rPr>
                <w:rFonts w:hint="eastAsia" w:ascii="宋体" w:hAnsi="宋体" w:eastAsia="宋体" w:cs="宋体"/>
                <w:color w:val="auto"/>
                <w:sz w:val="21"/>
                <w:szCs w:val="21"/>
                <w:highlight w:val="none"/>
                <w:shd w:val="clear" w:color="auto" w:fill="auto"/>
              </w:rPr>
              <w:t>要求</w:t>
            </w:r>
            <w:r>
              <w:rPr>
                <w:rFonts w:hint="eastAsia" w:ascii="宋体" w:hAnsi="宋体" w:eastAsia="宋体" w:cs="宋体"/>
                <w:color w:val="auto"/>
                <w:sz w:val="21"/>
                <w:szCs w:val="21"/>
                <w:highlight w:val="none"/>
                <w:shd w:val="clear" w:color="auto" w:fill="auto"/>
                <w:lang w:val="en-US" w:eastAsia="zh-CN"/>
              </w:rPr>
              <w:t>及响应文件等内容对各项指标</w:t>
            </w:r>
            <w:r>
              <w:rPr>
                <w:rFonts w:hint="eastAsia" w:ascii="宋体" w:hAnsi="宋体" w:eastAsia="宋体" w:cs="宋体"/>
                <w:color w:val="auto"/>
                <w:sz w:val="21"/>
                <w:szCs w:val="21"/>
                <w:highlight w:val="none"/>
                <w:shd w:val="clear" w:color="auto" w:fill="auto"/>
              </w:rPr>
              <w:t>进行验收。</w:t>
            </w:r>
          </w:p>
          <w:p w14:paraId="6C2F43B9">
            <w:pPr>
              <w:keepNext w:val="0"/>
              <w:keepLines w:val="0"/>
              <w:pageBreakBefore w:val="0"/>
              <w:tabs>
                <w:tab w:val="left" w:pos="180"/>
                <w:tab w:val="left" w:pos="1620"/>
              </w:tabs>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shd w:val="clear" w:color="auto" w:fill="auto"/>
                <w:lang w:val="en-US" w:eastAsia="zh-CN"/>
              </w:rPr>
              <w:t>2.成交</w:t>
            </w:r>
            <w:r>
              <w:rPr>
                <w:rFonts w:hint="eastAsia" w:ascii="宋体" w:hAnsi="宋体" w:eastAsia="宋体" w:cs="宋体"/>
                <w:color w:val="auto"/>
                <w:sz w:val="21"/>
                <w:szCs w:val="21"/>
                <w:highlight w:val="none"/>
                <w:shd w:val="clear" w:color="auto" w:fill="auto"/>
              </w:rPr>
              <w:t>人提供的服务未达到</w:t>
            </w:r>
            <w:r>
              <w:rPr>
                <w:rFonts w:hint="eastAsia" w:ascii="宋体" w:hAnsi="宋体" w:eastAsia="宋体" w:cs="宋体"/>
                <w:color w:val="auto"/>
                <w:sz w:val="21"/>
                <w:szCs w:val="21"/>
                <w:highlight w:val="none"/>
                <w:shd w:val="clear" w:color="auto" w:fill="auto"/>
                <w:lang w:val="en-US" w:eastAsia="zh-CN"/>
              </w:rPr>
              <w:t>采购</w:t>
            </w:r>
            <w:r>
              <w:rPr>
                <w:rFonts w:hint="eastAsia" w:ascii="宋体" w:hAnsi="宋体" w:eastAsia="宋体" w:cs="宋体"/>
                <w:color w:val="auto"/>
                <w:sz w:val="21"/>
                <w:szCs w:val="21"/>
                <w:highlight w:val="none"/>
                <w:shd w:val="clear" w:color="auto" w:fill="auto"/>
              </w:rPr>
              <w:t>文件规定要求，且对采购人造成损失的，由</w:t>
            </w:r>
            <w:r>
              <w:rPr>
                <w:rFonts w:hint="eastAsia" w:ascii="宋体" w:hAnsi="宋体" w:eastAsia="宋体" w:cs="宋体"/>
                <w:color w:val="auto"/>
                <w:sz w:val="21"/>
                <w:szCs w:val="21"/>
                <w:highlight w:val="none"/>
                <w:shd w:val="clear" w:color="auto" w:fill="auto"/>
                <w:lang w:val="en-US" w:eastAsia="zh-CN"/>
              </w:rPr>
              <w:t>成交</w:t>
            </w:r>
            <w:r>
              <w:rPr>
                <w:rFonts w:hint="eastAsia" w:ascii="宋体" w:hAnsi="宋体" w:eastAsia="宋体" w:cs="宋体"/>
                <w:color w:val="auto"/>
                <w:sz w:val="21"/>
                <w:szCs w:val="21"/>
                <w:highlight w:val="none"/>
                <w:shd w:val="clear" w:color="auto" w:fill="auto"/>
              </w:rPr>
              <w:t>人承担一切责任，并赔偿所造成的损失。</w:t>
            </w:r>
          </w:p>
        </w:tc>
      </w:tr>
      <w:tr w14:paraId="0785F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681" w:type="dxa"/>
            <w:tcBorders>
              <w:top w:val="single" w:color="auto" w:sz="4" w:space="0"/>
              <w:left w:val="single" w:color="auto" w:sz="4" w:space="0"/>
              <w:bottom w:val="single" w:color="auto" w:sz="4" w:space="0"/>
              <w:right w:val="single" w:color="auto" w:sz="4" w:space="0"/>
            </w:tcBorders>
            <w:noWrap w:val="0"/>
            <w:vAlign w:val="center"/>
          </w:tcPr>
          <w:p w14:paraId="2BFE7D9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2"/>
                <w:sz w:val="21"/>
                <w:szCs w:val="21"/>
                <w:highlight w:val="none"/>
                <w:shd w:val="clear" w:color="auto" w:fill="auto"/>
                <w:lang w:val="en-US" w:eastAsia="zh-CN" w:bidi="ar-SA"/>
              </w:rPr>
            </w:pPr>
            <w:r>
              <w:rPr>
                <w:rFonts w:hint="eastAsia" w:ascii="宋体" w:hAnsi="宋体" w:eastAsia="宋体" w:cs="宋体"/>
                <w:color w:val="auto"/>
                <w:sz w:val="21"/>
                <w:szCs w:val="21"/>
                <w:highlight w:val="none"/>
                <w:shd w:val="clear" w:color="auto" w:fill="auto"/>
              </w:rPr>
              <w:t>其他说明</w:t>
            </w:r>
          </w:p>
        </w:tc>
        <w:tc>
          <w:tcPr>
            <w:tcW w:w="9181" w:type="dxa"/>
            <w:gridSpan w:val="4"/>
            <w:tcBorders>
              <w:top w:val="single" w:color="auto" w:sz="4" w:space="0"/>
              <w:left w:val="single" w:color="auto" w:sz="4" w:space="0"/>
              <w:bottom w:val="single" w:color="auto" w:sz="4" w:space="0"/>
              <w:right w:val="single" w:color="auto" w:sz="4" w:space="0"/>
            </w:tcBorders>
            <w:noWrap w:val="0"/>
            <w:vAlign w:val="center"/>
          </w:tcPr>
          <w:p w14:paraId="245CC28B">
            <w:pPr>
              <w:keepNext w:val="0"/>
              <w:keepLines w:val="0"/>
              <w:pageBreakBefore w:val="0"/>
              <w:widowControl/>
              <w:shd w:val="clear" w:color="auto" w:fill="FFFFFF"/>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kern w:val="2"/>
                <w:sz w:val="21"/>
                <w:szCs w:val="21"/>
                <w:highlight w:val="none"/>
                <w:shd w:val="clear" w:color="auto" w:fill="auto"/>
                <w:lang w:val="en-US" w:eastAsia="zh-CN" w:bidi="ar-SA"/>
              </w:rPr>
            </w:pPr>
            <w:r>
              <w:rPr>
                <w:rFonts w:hint="eastAsia" w:ascii="宋体" w:hAnsi="宋体" w:eastAsia="宋体" w:cs="宋体"/>
                <w:color w:val="auto"/>
                <w:sz w:val="21"/>
                <w:szCs w:val="21"/>
                <w:highlight w:val="none"/>
                <w:shd w:val="clear" w:color="auto" w:fill="auto"/>
              </w:rPr>
              <w:t>供应商可根据自身情况在</w:t>
            </w:r>
            <w:r>
              <w:rPr>
                <w:rFonts w:hint="eastAsia" w:ascii="宋体" w:hAnsi="宋体" w:eastAsia="宋体" w:cs="宋体"/>
                <w:color w:val="auto"/>
                <w:sz w:val="21"/>
                <w:szCs w:val="21"/>
                <w:highlight w:val="none"/>
                <w:shd w:val="clear" w:color="auto" w:fill="auto"/>
                <w:lang w:val="en-US" w:eastAsia="zh-CN"/>
              </w:rPr>
              <w:t>响应</w:t>
            </w:r>
            <w:r>
              <w:rPr>
                <w:rFonts w:hint="eastAsia" w:ascii="宋体" w:hAnsi="宋体" w:eastAsia="宋体" w:cs="宋体"/>
                <w:color w:val="auto"/>
                <w:sz w:val="21"/>
                <w:szCs w:val="21"/>
                <w:highlight w:val="none"/>
                <w:shd w:val="clear" w:color="auto" w:fill="auto"/>
              </w:rPr>
              <w:t>文件提供整体服务方案、尽职调查与评级质量控制体系</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跟踪评级、后续服务与响应机制</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rPr>
              <w:t>保密管理、廉政与风险防控方案、人员、业绩</w:t>
            </w:r>
            <w:r>
              <w:rPr>
                <w:rFonts w:hint="eastAsia" w:ascii="宋体" w:hAnsi="宋体" w:eastAsia="宋体" w:cs="宋体"/>
                <w:color w:val="auto"/>
                <w:sz w:val="21"/>
                <w:szCs w:val="21"/>
                <w:highlight w:val="none"/>
                <w:shd w:val="clear" w:color="auto" w:fill="auto"/>
                <w:lang w:eastAsia="zh-CN"/>
              </w:rPr>
              <w:t>、</w:t>
            </w:r>
            <w:r>
              <w:rPr>
                <w:rFonts w:hint="eastAsia" w:ascii="宋体" w:hAnsi="宋体" w:eastAsia="宋体" w:cs="宋体"/>
                <w:color w:val="auto"/>
                <w:sz w:val="21"/>
                <w:szCs w:val="21"/>
                <w:highlight w:val="none"/>
                <w:shd w:val="clear" w:color="auto" w:fill="auto"/>
                <w:lang w:val="en-US" w:eastAsia="zh-CN"/>
              </w:rPr>
              <w:t>奖项</w:t>
            </w:r>
            <w:r>
              <w:rPr>
                <w:rFonts w:hint="eastAsia" w:ascii="宋体" w:hAnsi="宋体" w:eastAsia="宋体" w:cs="宋体"/>
                <w:color w:val="auto"/>
                <w:sz w:val="21"/>
                <w:szCs w:val="21"/>
                <w:highlight w:val="none"/>
                <w:shd w:val="clear" w:color="auto" w:fill="auto"/>
              </w:rPr>
              <w:t>等内容。</w:t>
            </w:r>
          </w:p>
        </w:tc>
      </w:tr>
    </w:tbl>
    <w:p w14:paraId="0A617625">
      <w:pPr>
        <w:keepNext w:val="0"/>
        <w:keepLines w:val="0"/>
        <w:pageBreakBefore w:val="0"/>
        <w:kinsoku/>
        <w:wordWrap/>
        <w:overflowPunct/>
        <w:topLinePunct w:val="0"/>
        <w:autoSpaceDE/>
        <w:autoSpaceDN/>
        <w:bidi w:val="0"/>
        <w:adjustRightInd/>
        <w:snapToGrid/>
        <w:spacing w:line="500" w:lineRule="exact"/>
        <w:textAlignment w:val="auto"/>
        <w:rPr>
          <w:rFonts w:hint="eastAsia" w:ascii="宋体" w:hAnsi="宋体" w:eastAsia="宋体" w:cs="宋体"/>
          <w:color w:val="auto"/>
          <w:highlight w:val="none"/>
        </w:rPr>
      </w:pPr>
    </w:p>
    <w:p w14:paraId="30595EEB">
      <w:pPr>
        <w:spacing w:line="360" w:lineRule="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5C33C96B">
      <w:pPr>
        <w:spacing w:line="360" w:lineRule="auto"/>
        <w:jc w:val="center"/>
        <w:rPr>
          <w:rFonts w:hint="eastAsia" w:ascii="宋体" w:hAnsi="宋体" w:eastAsia="宋体" w:cs="宋体"/>
          <w:b/>
          <w:color w:val="auto"/>
          <w:sz w:val="32"/>
          <w:szCs w:val="32"/>
          <w:highlight w:val="none"/>
        </w:rPr>
      </w:pPr>
    </w:p>
    <w:p w14:paraId="0E083A6F">
      <w:pPr>
        <w:spacing w:line="360" w:lineRule="auto"/>
        <w:jc w:val="center"/>
        <w:rPr>
          <w:rFonts w:hint="eastAsia" w:ascii="宋体" w:hAnsi="宋体" w:eastAsia="宋体" w:cs="宋体"/>
          <w:b/>
          <w:color w:val="auto"/>
          <w:sz w:val="32"/>
          <w:szCs w:val="32"/>
          <w:highlight w:val="none"/>
        </w:rPr>
      </w:pPr>
    </w:p>
    <w:p w14:paraId="3EA014DF">
      <w:pPr>
        <w:spacing w:line="360" w:lineRule="auto"/>
        <w:jc w:val="center"/>
        <w:rPr>
          <w:rFonts w:hint="eastAsia" w:ascii="宋体" w:hAnsi="宋体" w:eastAsia="宋体" w:cs="宋体"/>
          <w:b/>
          <w:color w:val="auto"/>
          <w:sz w:val="32"/>
          <w:szCs w:val="32"/>
          <w:highlight w:val="none"/>
        </w:rPr>
      </w:pPr>
    </w:p>
    <w:p w14:paraId="1C074AE4">
      <w:pPr>
        <w:spacing w:line="360" w:lineRule="auto"/>
        <w:jc w:val="center"/>
        <w:rPr>
          <w:rFonts w:hint="eastAsia" w:ascii="宋体" w:hAnsi="宋体" w:eastAsia="宋体" w:cs="宋体"/>
          <w:b/>
          <w:color w:val="auto"/>
          <w:sz w:val="32"/>
          <w:szCs w:val="32"/>
          <w:highlight w:val="none"/>
        </w:rPr>
      </w:pPr>
    </w:p>
    <w:p w14:paraId="518F744D">
      <w:pPr>
        <w:spacing w:line="360" w:lineRule="auto"/>
        <w:jc w:val="center"/>
        <w:rPr>
          <w:rFonts w:hint="eastAsia" w:ascii="宋体" w:hAnsi="宋体" w:eastAsia="宋体" w:cs="宋体"/>
          <w:b/>
          <w:color w:val="auto"/>
          <w:sz w:val="32"/>
          <w:szCs w:val="32"/>
          <w:highlight w:val="none"/>
        </w:rPr>
      </w:pPr>
    </w:p>
    <w:p w14:paraId="49FAB168">
      <w:pPr>
        <w:spacing w:line="360" w:lineRule="auto"/>
        <w:jc w:val="center"/>
        <w:rPr>
          <w:rFonts w:hint="eastAsia" w:ascii="宋体" w:hAnsi="宋体" w:eastAsia="宋体" w:cs="宋体"/>
          <w:b/>
          <w:color w:val="auto"/>
          <w:sz w:val="32"/>
          <w:szCs w:val="32"/>
          <w:highlight w:val="none"/>
        </w:rPr>
      </w:pPr>
    </w:p>
    <w:p w14:paraId="7A7A8176">
      <w:pPr>
        <w:pStyle w:val="12"/>
        <w:spacing w:line="360" w:lineRule="auto"/>
        <w:rPr>
          <w:rFonts w:hint="eastAsia" w:ascii="宋体" w:hAnsi="宋体" w:eastAsia="宋体" w:cs="宋体"/>
          <w:color w:val="auto"/>
          <w:sz w:val="44"/>
          <w:szCs w:val="44"/>
          <w:highlight w:val="none"/>
        </w:rPr>
      </w:pPr>
      <w:bookmarkStart w:id="39" w:name="_Toc476258665"/>
      <w:bookmarkStart w:id="40" w:name="_Toc20020"/>
      <w:r>
        <w:rPr>
          <w:rFonts w:hint="eastAsia" w:ascii="宋体" w:hAnsi="宋体" w:eastAsia="宋体" w:cs="宋体"/>
          <w:color w:val="auto"/>
          <w:sz w:val="44"/>
          <w:szCs w:val="44"/>
          <w:highlight w:val="none"/>
        </w:rPr>
        <w:t>第四章  竞争性磋商响应文件格式</w:t>
      </w:r>
      <w:bookmarkEnd w:id="39"/>
      <w:bookmarkEnd w:id="40"/>
    </w:p>
    <w:p w14:paraId="2AE16AD6">
      <w:pPr>
        <w:spacing w:line="360" w:lineRule="auto"/>
        <w:jc w:val="center"/>
        <w:rPr>
          <w:rFonts w:hint="eastAsia" w:ascii="宋体" w:hAnsi="宋体" w:eastAsia="宋体" w:cs="宋体"/>
          <w:b/>
          <w:color w:val="auto"/>
          <w:sz w:val="32"/>
          <w:szCs w:val="32"/>
          <w:highlight w:val="none"/>
        </w:rPr>
      </w:pPr>
    </w:p>
    <w:p w14:paraId="47D93F08">
      <w:pPr>
        <w:spacing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bCs/>
          <w:color w:val="auto"/>
          <w:sz w:val="30"/>
          <w:szCs w:val="30"/>
          <w:highlight w:val="none"/>
        </w:rPr>
        <w:t>一、</w:t>
      </w:r>
      <w:r>
        <w:rPr>
          <w:rFonts w:hint="eastAsia" w:ascii="宋体" w:hAnsi="宋体" w:eastAsia="宋体" w:cs="宋体"/>
          <w:b/>
          <w:color w:val="auto"/>
          <w:sz w:val="30"/>
          <w:szCs w:val="30"/>
          <w:highlight w:val="none"/>
        </w:rPr>
        <w:t>竞争性磋商响应文件封面</w:t>
      </w:r>
      <w:r>
        <w:rPr>
          <w:rFonts w:hint="eastAsia" w:ascii="宋体" w:hAnsi="宋体" w:eastAsia="宋体" w:cs="宋体"/>
          <w:b/>
          <w:bCs/>
          <w:color w:val="auto"/>
          <w:sz w:val="30"/>
          <w:szCs w:val="30"/>
          <w:highlight w:val="none"/>
        </w:rPr>
        <w:t>格式</w:t>
      </w:r>
    </w:p>
    <w:p w14:paraId="7AF8BDCC">
      <w:pPr>
        <w:spacing w:line="360" w:lineRule="auto"/>
        <w:rPr>
          <w:rFonts w:hint="eastAsia" w:ascii="宋体" w:hAnsi="宋体" w:eastAsia="宋体" w:cs="宋体"/>
          <w:b/>
          <w:color w:val="auto"/>
          <w:sz w:val="32"/>
          <w:szCs w:val="32"/>
          <w:highlight w:val="none"/>
          <w:u w:val="single"/>
        </w:rPr>
      </w:pPr>
    </w:p>
    <w:p w14:paraId="00994724">
      <w:pPr>
        <w:spacing w:line="360" w:lineRule="auto"/>
        <w:jc w:val="righ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u w:val="single"/>
        </w:rPr>
        <w:t xml:space="preserve">   </w:t>
      </w:r>
      <w:r>
        <w:rPr>
          <w:rFonts w:hint="eastAsia" w:ascii="宋体" w:hAnsi="宋体" w:eastAsia="宋体" w:cs="宋体"/>
          <w:b/>
          <w:color w:val="auto"/>
          <w:sz w:val="32"/>
          <w:szCs w:val="32"/>
          <w:highlight w:val="none"/>
        </w:rPr>
        <w:t>本</w:t>
      </w:r>
    </w:p>
    <w:p w14:paraId="411333E0">
      <w:pPr>
        <w:snapToGrid w:val="0"/>
        <w:spacing w:before="156" w:beforeLines="50" w:after="50" w:line="360" w:lineRule="auto"/>
        <w:ind w:left="8400" w:hanging="8400" w:hangingChars="3000"/>
        <w:rPr>
          <w:rFonts w:hint="eastAsia" w:ascii="宋体" w:hAnsi="宋体" w:eastAsia="宋体" w:cs="宋体"/>
          <w:bCs/>
          <w:color w:val="auto"/>
          <w:sz w:val="28"/>
          <w:szCs w:val="28"/>
          <w:highlight w:val="none"/>
        </w:rPr>
      </w:pPr>
    </w:p>
    <w:p w14:paraId="64BD6490">
      <w:pPr>
        <w:snapToGrid w:val="0"/>
        <w:spacing w:before="156" w:beforeLines="50" w:after="50" w:line="360" w:lineRule="auto"/>
        <w:jc w:val="center"/>
        <w:rPr>
          <w:rFonts w:hint="eastAsia" w:ascii="宋体" w:hAnsi="宋体" w:eastAsia="宋体" w:cs="宋体"/>
          <w:bCs/>
          <w:color w:val="auto"/>
          <w:sz w:val="24"/>
          <w:highlight w:val="none"/>
        </w:rPr>
      </w:pPr>
      <w:r>
        <w:rPr>
          <w:rFonts w:hint="eastAsia" w:ascii="宋体" w:hAnsi="宋体" w:eastAsia="宋体" w:cs="宋体"/>
          <w:b/>
          <w:color w:val="auto"/>
          <w:sz w:val="44"/>
          <w:szCs w:val="44"/>
          <w:highlight w:val="none"/>
        </w:rPr>
        <w:t>竞争性磋商响应文件</w:t>
      </w:r>
      <w:r>
        <w:rPr>
          <w:rFonts w:hint="eastAsia" w:ascii="宋体" w:hAnsi="宋体" w:eastAsia="宋体" w:cs="宋体"/>
          <w:color w:val="auto"/>
          <w:sz w:val="28"/>
          <w:szCs w:val="28"/>
          <w:highlight w:val="none"/>
        </w:rPr>
        <w:t>（封面）</w:t>
      </w:r>
    </w:p>
    <w:p w14:paraId="2155A9E6">
      <w:pPr>
        <w:spacing w:line="360" w:lineRule="auto"/>
        <w:ind w:firstLine="420" w:firstLineChars="200"/>
        <w:rPr>
          <w:rFonts w:hint="eastAsia" w:ascii="宋体" w:hAnsi="宋体" w:eastAsia="宋体" w:cs="宋体"/>
          <w:color w:val="auto"/>
          <w:szCs w:val="21"/>
          <w:highlight w:val="none"/>
        </w:rPr>
      </w:pPr>
    </w:p>
    <w:p w14:paraId="7E797EF3">
      <w:pPr>
        <w:spacing w:line="360" w:lineRule="auto"/>
        <w:ind w:firstLine="420" w:firstLineChars="200"/>
        <w:rPr>
          <w:rFonts w:hint="eastAsia" w:ascii="宋体" w:hAnsi="宋体" w:eastAsia="宋体" w:cs="宋体"/>
          <w:color w:val="auto"/>
          <w:szCs w:val="21"/>
          <w:highlight w:val="none"/>
        </w:rPr>
      </w:pPr>
    </w:p>
    <w:p w14:paraId="660D4216">
      <w:pPr>
        <w:spacing w:line="360" w:lineRule="auto"/>
        <w:ind w:firstLine="420" w:firstLineChars="200"/>
        <w:rPr>
          <w:rFonts w:hint="eastAsia" w:ascii="宋体" w:hAnsi="宋体" w:eastAsia="宋体" w:cs="宋体"/>
          <w:color w:val="auto"/>
          <w:szCs w:val="21"/>
          <w:highlight w:val="none"/>
        </w:rPr>
      </w:pPr>
    </w:p>
    <w:p w14:paraId="05ACAF09">
      <w:pPr>
        <w:spacing w:line="360" w:lineRule="auto"/>
        <w:ind w:firstLine="420" w:firstLineChars="200"/>
        <w:jc w:val="left"/>
        <w:rPr>
          <w:rFonts w:hint="eastAsia" w:ascii="宋体" w:hAnsi="宋体" w:eastAsia="宋体" w:cs="宋体"/>
          <w:color w:val="auto"/>
          <w:sz w:val="28"/>
          <w:szCs w:val="28"/>
          <w:highlight w:val="none"/>
          <w:u w:val="single"/>
        </w:rPr>
      </w:pPr>
      <w:r>
        <w:rPr>
          <w:rFonts w:hint="eastAsia" w:ascii="宋体" w:hAnsi="宋体" w:eastAsia="宋体" w:cs="宋体"/>
          <w:color w:val="auto"/>
          <w:szCs w:val="21"/>
          <w:highlight w:val="none"/>
        </w:rPr>
        <w:t xml:space="preserve">        </w:t>
      </w:r>
      <w:r>
        <w:rPr>
          <w:rFonts w:hint="eastAsia" w:ascii="宋体" w:hAnsi="宋体" w:eastAsia="宋体" w:cs="宋体"/>
          <w:color w:val="auto"/>
          <w:sz w:val="28"/>
          <w:szCs w:val="28"/>
          <w:highlight w:val="none"/>
        </w:rPr>
        <w:t xml:space="preserve"> 采购项目名称：</w:t>
      </w:r>
      <w:r>
        <w:rPr>
          <w:rFonts w:hint="eastAsia" w:ascii="宋体" w:hAnsi="宋体" w:eastAsia="宋体" w:cs="宋体"/>
          <w:color w:val="auto"/>
          <w:sz w:val="28"/>
          <w:szCs w:val="28"/>
          <w:highlight w:val="none"/>
          <w:u w:val="single"/>
        </w:rPr>
        <w:t xml:space="preserve">                          </w:t>
      </w:r>
    </w:p>
    <w:p w14:paraId="75EA87F1">
      <w:pP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sz w:val="28"/>
          <w:szCs w:val="28"/>
          <w:highlight w:val="none"/>
        </w:rPr>
        <w:t xml:space="preserve">         采购项目编号：</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highlight w:val="none"/>
          <w:u w:val="single"/>
        </w:rPr>
        <w:t xml:space="preserve">                             </w:t>
      </w:r>
    </w:p>
    <w:p w14:paraId="135AB605">
      <w:pPr>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bCs/>
          <w:color w:val="auto"/>
          <w:sz w:val="28"/>
          <w:szCs w:val="28"/>
          <w:highlight w:val="none"/>
        </w:rPr>
        <w:t xml:space="preserve">      分标号（如有）</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single"/>
        </w:rPr>
        <w:t xml:space="preserve">                         </w:t>
      </w:r>
    </w:p>
    <w:p w14:paraId="63FAE9FD">
      <w:pPr>
        <w:snapToGrid w:val="0"/>
        <w:spacing w:before="156" w:beforeLines="50" w:after="50" w:line="360" w:lineRule="auto"/>
        <w:ind w:firstLine="560" w:firstLineChars="200"/>
        <w:rPr>
          <w:rFonts w:hint="eastAsia" w:ascii="宋体" w:hAnsi="宋体" w:eastAsia="宋体" w:cs="宋体"/>
          <w:bCs/>
          <w:color w:val="auto"/>
          <w:sz w:val="28"/>
          <w:szCs w:val="28"/>
          <w:highlight w:val="none"/>
        </w:rPr>
      </w:pPr>
      <w:r>
        <w:rPr>
          <w:rFonts w:hint="eastAsia" w:ascii="宋体" w:hAnsi="宋体" w:eastAsia="宋体" w:cs="宋体"/>
          <w:color w:val="auto"/>
          <w:sz w:val="28"/>
          <w:szCs w:val="28"/>
          <w:highlight w:val="none"/>
        </w:rPr>
        <w:t xml:space="preserve">      磋商供应商名称</w:t>
      </w:r>
      <w:r>
        <w:rPr>
          <w:rFonts w:hint="eastAsia" w:ascii="宋体" w:hAnsi="宋体" w:eastAsia="宋体" w:cs="宋体"/>
          <w:bCs/>
          <w:color w:val="auto"/>
          <w:sz w:val="28"/>
          <w:szCs w:val="28"/>
          <w:highlight w:val="none"/>
        </w:rPr>
        <w:t>：</w:t>
      </w:r>
      <w:r>
        <w:rPr>
          <w:rFonts w:hint="eastAsia" w:ascii="宋体" w:hAnsi="宋体" w:eastAsia="宋体" w:cs="宋体"/>
          <w:color w:val="auto"/>
          <w:sz w:val="28"/>
          <w:szCs w:val="28"/>
          <w:highlight w:val="none"/>
          <w:u w:val="single"/>
        </w:rPr>
        <w:t xml:space="preserve">                        </w:t>
      </w:r>
    </w:p>
    <w:p w14:paraId="099C4468">
      <w:pP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 w:val="24"/>
          <w:highlight w:val="none"/>
        </w:rPr>
        <w:t xml:space="preserve">                      </w:t>
      </w:r>
    </w:p>
    <w:p w14:paraId="16639766">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highlight w:val="none"/>
        </w:rPr>
        <w:t xml:space="preserve">                                   </w:t>
      </w:r>
      <w:r>
        <w:rPr>
          <w:rFonts w:hint="eastAsia" w:ascii="宋体" w:hAnsi="宋体" w:eastAsia="宋体" w:cs="宋体"/>
          <w:color w:val="auto"/>
          <w:sz w:val="28"/>
          <w:szCs w:val="28"/>
          <w:highlight w:val="none"/>
        </w:rPr>
        <w:t xml:space="preserve">                     年    月    日</w:t>
      </w:r>
    </w:p>
    <w:p w14:paraId="227E7B28">
      <w:pPr>
        <w:spacing w:line="360" w:lineRule="auto"/>
        <w:rPr>
          <w:rFonts w:hint="eastAsia" w:ascii="宋体" w:hAnsi="宋体" w:eastAsia="宋体" w:cs="宋体"/>
          <w:color w:val="auto"/>
          <w:szCs w:val="21"/>
          <w:highlight w:val="none"/>
        </w:rPr>
      </w:pPr>
    </w:p>
    <w:p w14:paraId="7E5AD44E">
      <w:pPr>
        <w:spacing w:line="360" w:lineRule="auto"/>
        <w:ind w:firstLine="3767" w:firstLineChars="1340"/>
        <w:rPr>
          <w:rFonts w:hint="eastAsia" w:ascii="宋体" w:hAnsi="宋体" w:eastAsia="宋体" w:cs="宋体"/>
          <w:b/>
          <w:color w:val="auto"/>
          <w:sz w:val="28"/>
          <w:szCs w:val="28"/>
          <w:highlight w:val="none"/>
        </w:rPr>
      </w:pPr>
    </w:p>
    <w:p w14:paraId="7666514E">
      <w:pPr>
        <w:spacing w:line="360" w:lineRule="auto"/>
        <w:ind w:firstLine="3767" w:firstLineChars="1340"/>
        <w:rPr>
          <w:rFonts w:hint="eastAsia" w:ascii="宋体" w:hAnsi="宋体" w:eastAsia="宋体" w:cs="宋体"/>
          <w:b/>
          <w:color w:val="auto"/>
          <w:sz w:val="28"/>
          <w:szCs w:val="28"/>
          <w:highlight w:val="none"/>
        </w:rPr>
      </w:pPr>
    </w:p>
    <w:p w14:paraId="46D762E3">
      <w:pPr>
        <w:spacing w:line="360" w:lineRule="auto"/>
        <w:ind w:firstLine="3767" w:firstLineChars="1340"/>
        <w:rPr>
          <w:rFonts w:hint="eastAsia" w:ascii="宋体" w:hAnsi="宋体" w:eastAsia="宋体" w:cs="宋体"/>
          <w:b/>
          <w:color w:val="auto"/>
          <w:sz w:val="28"/>
          <w:szCs w:val="28"/>
          <w:highlight w:val="none"/>
        </w:rPr>
      </w:pPr>
    </w:p>
    <w:p w14:paraId="4B105194">
      <w:pPr>
        <w:spacing w:line="360" w:lineRule="auto"/>
        <w:ind w:firstLine="3767" w:firstLineChars="1340"/>
        <w:rPr>
          <w:rFonts w:hint="eastAsia" w:ascii="宋体" w:hAnsi="宋体" w:eastAsia="宋体" w:cs="宋体"/>
          <w:b/>
          <w:color w:val="auto"/>
          <w:sz w:val="28"/>
          <w:szCs w:val="28"/>
          <w:highlight w:val="none"/>
        </w:rPr>
      </w:pPr>
    </w:p>
    <w:p w14:paraId="7A993D24">
      <w:pPr>
        <w:spacing w:line="36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br w:type="page"/>
      </w:r>
      <w:r>
        <w:rPr>
          <w:rFonts w:hint="eastAsia" w:ascii="宋体" w:hAnsi="宋体" w:eastAsia="宋体" w:cs="宋体"/>
          <w:b/>
          <w:color w:val="auto"/>
          <w:sz w:val="30"/>
          <w:szCs w:val="30"/>
          <w:highlight w:val="none"/>
        </w:rPr>
        <w:t>二、附  件</w:t>
      </w:r>
    </w:p>
    <w:p w14:paraId="43DCAF9B">
      <w:pPr>
        <w:spacing w:line="360" w:lineRule="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附件一 </w:t>
      </w:r>
    </w:p>
    <w:p w14:paraId="6F2A99F7">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报  价  表</w:t>
      </w:r>
    </w:p>
    <w:p w14:paraId="60E4B318">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采购项目名称：</w:t>
      </w:r>
      <w:r>
        <w:rPr>
          <w:rFonts w:hint="eastAsia" w:ascii="宋体" w:hAnsi="宋体" w:eastAsia="宋体" w:cs="宋体"/>
          <w:color w:val="auto"/>
          <w:szCs w:val="21"/>
          <w:highlight w:val="none"/>
          <w:u w:val="single"/>
        </w:rPr>
        <w:t xml:space="preserve">                 </w:t>
      </w:r>
    </w:p>
    <w:p w14:paraId="52B805DD">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63223391">
      <w:pPr>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分标号（如有）：</w:t>
      </w:r>
      <w:r>
        <w:rPr>
          <w:rFonts w:hint="eastAsia" w:ascii="宋体" w:hAnsi="宋体" w:eastAsia="宋体" w:cs="宋体"/>
          <w:color w:val="auto"/>
          <w:szCs w:val="21"/>
          <w:highlight w:val="none"/>
          <w:u w:val="single"/>
        </w:rPr>
        <w:t xml:space="preserve">                </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2446"/>
        <w:gridCol w:w="2446"/>
        <w:gridCol w:w="1693"/>
        <w:gridCol w:w="1694"/>
        <w:gridCol w:w="851"/>
      </w:tblGrid>
      <w:tr w14:paraId="6A8EE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9" w:hRule="atLeast"/>
          <w:jc w:val="center"/>
        </w:trPr>
        <w:tc>
          <w:tcPr>
            <w:tcW w:w="627" w:type="dxa"/>
            <w:tcBorders>
              <w:bottom w:val="single" w:color="auto" w:sz="4" w:space="0"/>
            </w:tcBorders>
            <w:noWrap w:val="0"/>
            <w:vAlign w:val="center"/>
          </w:tcPr>
          <w:p w14:paraId="22DE0093">
            <w:pPr>
              <w:pStyle w:val="8"/>
              <w:spacing w:line="360" w:lineRule="auto"/>
              <w:ind w:left="480" w:hanging="480"/>
              <w:jc w:val="center"/>
              <w:rPr>
                <w:rFonts w:hint="eastAsia" w:ascii="宋体" w:hAnsi="宋体" w:eastAsia="宋体" w:cs="宋体"/>
                <w:color w:val="auto"/>
                <w:spacing w:val="-20"/>
                <w:highlight w:val="none"/>
              </w:rPr>
            </w:pPr>
            <w:r>
              <w:rPr>
                <w:rFonts w:hint="eastAsia" w:ascii="宋体" w:hAnsi="宋体" w:eastAsia="宋体" w:cs="宋体"/>
                <w:color w:val="auto"/>
                <w:spacing w:val="-20"/>
                <w:highlight w:val="none"/>
              </w:rPr>
              <w:t>序号</w:t>
            </w:r>
          </w:p>
        </w:tc>
        <w:tc>
          <w:tcPr>
            <w:tcW w:w="2446" w:type="dxa"/>
            <w:tcBorders>
              <w:bottom w:val="single" w:color="auto" w:sz="4" w:space="0"/>
            </w:tcBorders>
            <w:noWrap w:val="0"/>
            <w:vAlign w:val="center"/>
          </w:tcPr>
          <w:p w14:paraId="1A2B12F5">
            <w:pPr>
              <w:tabs>
                <w:tab w:val="left" w:pos="180"/>
                <w:tab w:val="left" w:pos="1620"/>
              </w:tabs>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标的名称</w:t>
            </w:r>
          </w:p>
        </w:tc>
        <w:tc>
          <w:tcPr>
            <w:tcW w:w="2446" w:type="dxa"/>
            <w:tcBorders>
              <w:bottom w:val="single" w:color="auto" w:sz="4" w:space="0"/>
            </w:tcBorders>
            <w:noWrap w:val="0"/>
            <w:vAlign w:val="center"/>
          </w:tcPr>
          <w:p w14:paraId="226798D2">
            <w:pPr>
              <w:tabs>
                <w:tab w:val="left" w:pos="180"/>
                <w:tab w:val="left" w:pos="1620"/>
              </w:tabs>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w:t>
            </w:r>
            <w:r>
              <w:rPr>
                <w:rFonts w:hint="eastAsia" w:ascii="宋体" w:hAnsi="宋体" w:eastAsia="宋体" w:cs="宋体"/>
                <w:color w:val="auto"/>
                <w:highlight w:val="none"/>
              </w:rPr>
              <w:t>①</w:t>
            </w:r>
          </w:p>
        </w:tc>
        <w:tc>
          <w:tcPr>
            <w:tcW w:w="1693" w:type="dxa"/>
            <w:tcBorders>
              <w:bottom w:val="single" w:color="auto" w:sz="4" w:space="0"/>
            </w:tcBorders>
            <w:noWrap w:val="0"/>
            <w:vAlign w:val="center"/>
          </w:tcPr>
          <w:p w14:paraId="1CC7BDE9">
            <w:pPr>
              <w:pStyle w:val="8"/>
              <w:spacing w:line="360" w:lineRule="auto"/>
              <w:ind w:left="560" w:hanging="560"/>
              <w:jc w:val="center"/>
              <w:rPr>
                <w:rFonts w:hint="eastAsia" w:ascii="宋体" w:hAnsi="宋体" w:eastAsia="宋体" w:cs="宋体"/>
                <w:color w:val="auto"/>
                <w:highlight w:val="none"/>
              </w:rPr>
            </w:pPr>
            <w:r>
              <w:rPr>
                <w:rFonts w:hint="eastAsia" w:ascii="宋体" w:hAnsi="宋体" w:eastAsia="宋体" w:cs="宋体"/>
                <w:color w:val="auto"/>
                <w:highlight w:val="none"/>
              </w:rPr>
              <w:t>单价（元）②</w:t>
            </w:r>
          </w:p>
        </w:tc>
        <w:tc>
          <w:tcPr>
            <w:tcW w:w="1694" w:type="dxa"/>
            <w:tcBorders>
              <w:bottom w:val="single" w:color="auto" w:sz="4" w:space="0"/>
            </w:tcBorders>
            <w:noWrap w:val="0"/>
            <w:vAlign w:val="center"/>
          </w:tcPr>
          <w:p w14:paraId="4440EE0F">
            <w:pPr>
              <w:pStyle w:val="8"/>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单项合价</w:t>
            </w:r>
          </w:p>
          <w:p w14:paraId="209191CB">
            <w:pPr>
              <w:pStyle w:val="8"/>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（元）</w:t>
            </w:r>
          </w:p>
          <w:p w14:paraId="704B86FB">
            <w:pPr>
              <w:pStyle w:val="8"/>
              <w:spacing w:line="360" w:lineRule="auto"/>
              <w:ind w:left="560" w:hanging="560"/>
              <w:jc w:val="center"/>
              <w:rPr>
                <w:rFonts w:hint="eastAsia" w:ascii="宋体" w:hAnsi="宋体" w:eastAsia="宋体" w:cs="宋体"/>
                <w:color w:val="auto"/>
                <w:highlight w:val="none"/>
              </w:rPr>
            </w:pPr>
            <w:r>
              <w:rPr>
                <w:rFonts w:hint="eastAsia" w:ascii="宋体" w:hAnsi="宋体" w:eastAsia="宋体" w:cs="宋体"/>
                <w:color w:val="auto"/>
                <w:highlight w:val="none"/>
              </w:rPr>
              <w:t>③=①×②</w:t>
            </w:r>
          </w:p>
        </w:tc>
        <w:tc>
          <w:tcPr>
            <w:tcW w:w="851" w:type="dxa"/>
            <w:tcBorders>
              <w:bottom w:val="single" w:color="auto" w:sz="4" w:space="0"/>
            </w:tcBorders>
            <w:noWrap w:val="0"/>
            <w:vAlign w:val="center"/>
          </w:tcPr>
          <w:p w14:paraId="515F1688">
            <w:pPr>
              <w:pStyle w:val="8"/>
              <w:spacing w:line="360" w:lineRule="auto"/>
              <w:ind w:left="560" w:hanging="560"/>
              <w:jc w:val="center"/>
              <w:rPr>
                <w:rFonts w:hint="eastAsia" w:ascii="宋体" w:hAnsi="宋体" w:eastAsia="宋体" w:cs="宋体"/>
                <w:color w:val="auto"/>
                <w:highlight w:val="none"/>
              </w:rPr>
            </w:pPr>
            <w:r>
              <w:rPr>
                <w:rFonts w:hint="eastAsia" w:ascii="宋体" w:hAnsi="宋体" w:eastAsia="宋体" w:cs="宋体"/>
                <w:color w:val="auto"/>
                <w:highlight w:val="none"/>
              </w:rPr>
              <w:t>备注</w:t>
            </w:r>
          </w:p>
        </w:tc>
      </w:tr>
      <w:tr w14:paraId="44BAF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8" w:hRule="atLeast"/>
          <w:jc w:val="center"/>
        </w:trPr>
        <w:tc>
          <w:tcPr>
            <w:tcW w:w="627" w:type="dxa"/>
            <w:noWrap w:val="0"/>
            <w:vAlign w:val="center"/>
          </w:tcPr>
          <w:p w14:paraId="103D21BE">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446" w:type="dxa"/>
            <w:noWrap w:val="0"/>
            <w:vAlign w:val="center"/>
          </w:tcPr>
          <w:p w14:paraId="6BE48BA5">
            <w:pPr>
              <w:pStyle w:val="8"/>
              <w:spacing w:line="360" w:lineRule="auto"/>
              <w:ind w:left="560" w:hanging="560"/>
              <w:jc w:val="center"/>
              <w:rPr>
                <w:rFonts w:hint="eastAsia" w:ascii="宋体" w:hAnsi="宋体" w:eastAsia="宋体" w:cs="宋体"/>
                <w:color w:val="auto"/>
                <w:highlight w:val="none"/>
              </w:rPr>
            </w:pPr>
          </w:p>
        </w:tc>
        <w:tc>
          <w:tcPr>
            <w:tcW w:w="2446" w:type="dxa"/>
            <w:noWrap w:val="0"/>
            <w:vAlign w:val="center"/>
          </w:tcPr>
          <w:p w14:paraId="089CF1BE">
            <w:pPr>
              <w:pStyle w:val="8"/>
              <w:spacing w:line="360" w:lineRule="auto"/>
              <w:ind w:left="560" w:hanging="560"/>
              <w:jc w:val="center"/>
              <w:rPr>
                <w:rFonts w:hint="eastAsia" w:ascii="宋体" w:hAnsi="宋体" w:eastAsia="宋体" w:cs="宋体"/>
                <w:color w:val="auto"/>
                <w:highlight w:val="none"/>
              </w:rPr>
            </w:pPr>
          </w:p>
        </w:tc>
        <w:tc>
          <w:tcPr>
            <w:tcW w:w="1693" w:type="dxa"/>
            <w:noWrap w:val="0"/>
            <w:vAlign w:val="center"/>
          </w:tcPr>
          <w:p w14:paraId="0C180541">
            <w:pPr>
              <w:pStyle w:val="8"/>
              <w:spacing w:line="360" w:lineRule="auto"/>
              <w:ind w:left="560" w:hanging="560"/>
              <w:jc w:val="center"/>
              <w:rPr>
                <w:rFonts w:hint="eastAsia" w:ascii="宋体" w:hAnsi="宋体" w:eastAsia="宋体" w:cs="宋体"/>
                <w:color w:val="auto"/>
                <w:highlight w:val="none"/>
              </w:rPr>
            </w:pPr>
          </w:p>
        </w:tc>
        <w:tc>
          <w:tcPr>
            <w:tcW w:w="1694" w:type="dxa"/>
            <w:noWrap w:val="0"/>
            <w:vAlign w:val="center"/>
          </w:tcPr>
          <w:p w14:paraId="6F56113C">
            <w:pPr>
              <w:pStyle w:val="8"/>
              <w:spacing w:line="360" w:lineRule="auto"/>
              <w:ind w:left="560" w:hanging="560"/>
              <w:jc w:val="center"/>
              <w:rPr>
                <w:rFonts w:hint="eastAsia" w:ascii="宋体" w:hAnsi="宋体" w:eastAsia="宋体" w:cs="宋体"/>
                <w:color w:val="auto"/>
                <w:highlight w:val="none"/>
              </w:rPr>
            </w:pPr>
          </w:p>
        </w:tc>
        <w:tc>
          <w:tcPr>
            <w:tcW w:w="851" w:type="dxa"/>
            <w:noWrap w:val="0"/>
            <w:vAlign w:val="center"/>
          </w:tcPr>
          <w:p w14:paraId="57F98EFB">
            <w:pPr>
              <w:pStyle w:val="8"/>
              <w:spacing w:line="360" w:lineRule="auto"/>
              <w:ind w:left="536" w:hanging="536"/>
              <w:jc w:val="center"/>
              <w:rPr>
                <w:rFonts w:hint="eastAsia" w:ascii="宋体" w:hAnsi="宋体" w:eastAsia="宋体" w:cs="宋体"/>
                <w:color w:val="auto"/>
                <w:spacing w:val="-6"/>
                <w:highlight w:val="none"/>
              </w:rPr>
            </w:pPr>
          </w:p>
        </w:tc>
      </w:tr>
      <w:tr w14:paraId="1A5E8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757" w:type="dxa"/>
            <w:gridSpan w:val="6"/>
            <w:noWrap w:val="0"/>
            <w:vAlign w:val="center"/>
          </w:tcPr>
          <w:p w14:paraId="6DEB9929">
            <w:pPr>
              <w:pStyle w:val="8"/>
              <w:spacing w:line="360" w:lineRule="auto"/>
              <w:ind w:left="536" w:hanging="536"/>
              <w:rPr>
                <w:rFonts w:hint="eastAsia" w:ascii="宋体" w:hAnsi="宋体" w:eastAsia="宋体" w:cs="宋体"/>
                <w:color w:val="auto"/>
                <w:spacing w:val="-6"/>
                <w:highlight w:val="none"/>
              </w:rPr>
            </w:pPr>
            <w:r>
              <w:rPr>
                <w:rFonts w:hint="eastAsia" w:ascii="宋体" w:hAnsi="宋体" w:eastAsia="宋体" w:cs="宋体"/>
                <w:color w:val="auto"/>
                <w:spacing w:val="-6"/>
                <w:highlight w:val="none"/>
              </w:rPr>
              <w:t>总报价（人民币大写）：</w:t>
            </w:r>
            <w:r>
              <w:rPr>
                <w:rFonts w:hint="eastAsia" w:ascii="宋体" w:hAnsi="宋体" w:eastAsia="宋体" w:cs="宋体"/>
                <w:color w:val="auto"/>
                <w:spacing w:val="-6"/>
                <w:highlight w:val="none"/>
                <w:u w:val="single"/>
              </w:rPr>
              <w:t xml:space="preserve">                                       </w:t>
            </w:r>
            <w:r>
              <w:rPr>
                <w:rFonts w:hint="eastAsia" w:ascii="宋体" w:hAnsi="宋体" w:eastAsia="宋体" w:cs="宋体"/>
                <w:color w:val="auto"/>
                <w:spacing w:val="-6"/>
                <w:highlight w:val="none"/>
              </w:rPr>
              <w:t>（￥</w:t>
            </w:r>
            <w:r>
              <w:rPr>
                <w:rFonts w:hint="eastAsia" w:ascii="宋体" w:hAnsi="宋体" w:eastAsia="宋体" w:cs="宋体"/>
                <w:color w:val="auto"/>
                <w:spacing w:val="-6"/>
                <w:highlight w:val="none"/>
                <w:u w:val="single"/>
              </w:rPr>
              <w:t xml:space="preserve">                </w:t>
            </w:r>
            <w:r>
              <w:rPr>
                <w:rFonts w:hint="eastAsia" w:ascii="宋体" w:hAnsi="宋体" w:eastAsia="宋体" w:cs="宋体"/>
                <w:color w:val="auto"/>
                <w:spacing w:val="-6"/>
                <w:highlight w:val="none"/>
              </w:rPr>
              <w:t>元）</w:t>
            </w:r>
          </w:p>
        </w:tc>
      </w:tr>
      <w:tr w14:paraId="23CC4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757" w:type="dxa"/>
            <w:gridSpan w:val="6"/>
            <w:noWrap w:val="0"/>
            <w:vAlign w:val="center"/>
          </w:tcPr>
          <w:p w14:paraId="192643BD">
            <w:pPr>
              <w:pStyle w:val="8"/>
              <w:spacing w:line="360" w:lineRule="auto"/>
              <w:ind w:left="536" w:hanging="536"/>
              <w:rPr>
                <w:rFonts w:hint="eastAsia" w:ascii="宋体" w:hAnsi="宋体" w:eastAsia="宋体" w:cs="宋体"/>
                <w:color w:val="auto"/>
                <w:spacing w:val="-6"/>
                <w:highlight w:val="none"/>
                <w:lang w:val="en-US" w:eastAsia="zh-CN"/>
              </w:rPr>
            </w:pPr>
            <w:r>
              <w:rPr>
                <w:rFonts w:hint="eastAsia" w:ascii="宋体" w:hAnsi="宋体" w:eastAsia="宋体" w:cs="宋体"/>
                <w:color w:val="auto"/>
                <w:spacing w:val="-6"/>
                <w:highlight w:val="none"/>
                <w:lang w:val="en-US" w:eastAsia="zh-CN"/>
              </w:rPr>
              <w:t>竞标有效期：</w:t>
            </w:r>
          </w:p>
        </w:tc>
      </w:tr>
    </w:tbl>
    <w:p w14:paraId="6C8F25A6">
      <w:pPr>
        <w:spacing w:line="240" w:lineRule="auto"/>
        <w:rPr>
          <w:rFonts w:hint="eastAsia" w:ascii="宋体" w:hAnsi="宋体" w:eastAsia="宋体" w:cs="宋体"/>
          <w:color w:val="auto"/>
          <w:szCs w:val="21"/>
          <w:highlight w:val="none"/>
        </w:rPr>
      </w:pPr>
    </w:p>
    <w:p w14:paraId="39DADE36">
      <w:pPr>
        <w:spacing w:line="24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注：1、所有价格均用人民币表示，单位为元，保留两位小数。</w:t>
      </w:r>
    </w:p>
    <w:p w14:paraId="26668FC0">
      <w:pPr>
        <w:spacing w:line="240" w:lineRule="auto"/>
        <w:ind w:firstLine="411" w:firstLineChars="196"/>
        <w:rPr>
          <w:rFonts w:hint="eastAsia" w:ascii="宋体" w:hAnsi="宋体" w:eastAsia="宋体" w:cs="宋体"/>
          <w:color w:val="auto"/>
          <w:szCs w:val="21"/>
          <w:highlight w:val="none"/>
        </w:rPr>
      </w:pPr>
      <w:r>
        <w:rPr>
          <w:rFonts w:hint="eastAsia" w:ascii="宋体" w:hAnsi="宋体" w:eastAsia="宋体" w:cs="宋体"/>
          <w:bCs/>
          <w:color w:val="auto"/>
          <w:highlight w:val="none"/>
        </w:rPr>
        <w:t>2、报价指服务费、管理费、验收费、利润、税金及其它所有成本、费用的总和</w:t>
      </w:r>
      <w:r>
        <w:rPr>
          <w:rFonts w:hint="eastAsia" w:ascii="宋体" w:hAnsi="宋体" w:eastAsia="宋体" w:cs="宋体"/>
          <w:color w:val="auto"/>
          <w:szCs w:val="21"/>
          <w:highlight w:val="none"/>
        </w:rPr>
        <w:t>。</w:t>
      </w:r>
    </w:p>
    <w:p w14:paraId="2240C1D2">
      <w:pPr>
        <w:pStyle w:val="8"/>
        <w:spacing w:line="240" w:lineRule="auto"/>
        <w:ind w:firstLine="420" w:firstLineChars="200"/>
        <w:rPr>
          <w:rFonts w:hint="eastAsia" w:ascii="宋体" w:hAnsi="宋体" w:eastAsia="宋体" w:cs="宋体"/>
          <w:color w:val="auto"/>
          <w:highlight w:val="none"/>
        </w:rPr>
      </w:pPr>
    </w:p>
    <w:p w14:paraId="53BC6829">
      <w:pPr>
        <w:pStyle w:val="8"/>
        <w:spacing w:line="24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法定代表人或委托代理人（签字）:</w:t>
      </w:r>
      <w:r>
        <w:rPr>
          <w:rFonts w:hint="eastAsia" w:ascii="宋体" w:hAnsi="宋体" w:eastAsia="宋体" w:cs="宋体"/>
          <w:color w:val="auto"/>
          <w:highlight w:val="none"/>
          <w:u w:val="single"/>
        </w:rPr>
        <w:t xml:space="preserve">              </w:t>
      </w:r>
    </w:p>
    <w:p w14:paraId="32FCC2DC">
      <w:pPr>
        <w:pStyle w:val="8"/>
        <w:spacing w:line="240" w:lineRule="auto"/>
        <w:ind w:firstLine="420" w:firstLineChars="200"/>
        <w:rPr>
          <w:rFonts w:hint="eastAsia" w:ascii="宋体" w:hAnsi="宋体" w:eastAsia="宋体" w:cs="宋体"/>
          <w:color w:val="auto"/>
          <w:highlight w:val="none"/>
          <w:u w:val="single"/>
        </w:rPr>
      </w:pPr>
      <w:r>
        <w:rPr>
          <w:rFonts w:hint="eastAsia" w:ascii="宋体" w:hAnsi="宋体" w:eastAsia="宋体" w:cs="宋体"/>
          <w:color w:val="auto"/>
          <w:highlight w:val="none"/>
        </w:rPr>
        <w:t>磋商供应商名称（盖章）：</w:t>
      </w:r>
      <w:r>
        <w:rPr>
          <w:rFonts w:hint="eastAsia" w:ascii="宋体" w:hAnsi="宋体" w:eastAsia="宋体" w:cs="宋体"/>
          <w:color w:val="auto"/>
          <w:highlight w:val="none"/>
          <w:u w:val="single"/>
        </w:rPr>
        <w:t xml:space="preserve">                             </w:t>
      </w:r>
    </w:p>
    <w:p w14:paraId="10DF0FBB">
      <w:pPr>
        <w:spacing w:line="24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报价时间：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0AB5542E">
      <w:pPr>
        <w:spacing w:line="360" w:lineRule="auto"/>
        <w:jc w:val="both"/>
        <w:rPr>
          <w:rFonts w:hint="eastAsia" w:ascii="宋体" w:hAnsi="宋体" w:eastAsia="宋体" w:cs="宋体"/>
          <w:color w:val="auto"/>
          <w:szCs w:val="21"/>
          <w:highlight w:val="none"/>
        </w:rPr>
      </w:pPr>
      <w:r>
        <w:rPr>
          <w:rFonts w:hint="eastAsia" w:ascii="宋体" w:hAnsi="宋体" w:eastAsia="宋体" w:cs="宋体"/>
          <w:color w:val="auto"/>
          <w:highlight w:val="none"/>
        </w:rPr>
        <w:br w:type="page"/>
      </w:r>
      <w:r>
        <w:rPr>
          <w:rFonts w:hint="eastAsia" w:ascii="宋体" w:hAnsi="宋体" w:eastAsia="宋体" w:cs="宋体"/>
          <w:b/>
          <w:color w:val="auto"/>
          <w:szCs w:val="21"/>
          <w:highlight w:val="none"/>
        </w:rPr>
        <w:t>附件二</w:t>
      </w:r>
    </w:p>
    <w:p w14:paraId="2FC44B6E">
      <w:pPr>
        <w:spacing w:line="24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磋  商  书</w:t>
      </w:r>
    </w:p>
    <w:p w14:paraId="33864FFC">
      <w:pPr>
        <w:pStyle w:val="8"/>
        <w:spacing w:line="240" w:lineRule="auto"/>
        <w:rPr>
          <w:rFonts w:hint="eastAsia" w:ascii="宋体" w:hAnsi="宋体" w:eastAsia="宋体" w:cs="宋体"/>
          <w:color w:val="auto"/>
          <w:highlight w:val="none"/>
        </w:rPr>
      </w:pPr>
      <w:r>
        <w:rPr>
          <w:rFonts w:hint="eastAsia" w:ascii="宋体" w:hAnsi="宋体" w:eastAsia="宋体" w:cs="宋体"/>
          <w:color w:val="auto"/>
          <w:highlight w:val="none"/>
          <w:u w:val="single"/>
        </w:rPr>
        <w:t>广西国建项目管理有限公司</w:t>
      </w:r>
      <w:r>
        <w:rPr>
          <w:rFonts w:hint="eastAsia" w:ascii="宋体" w:hAnsi="宋体" w:eastAsia="宋体" w:cs="宋体"/>
          <w:color w:val="auto"/>
          <w:highlight w:val="none"/>
        </w:rPr>
        <w:t>：</w:t>
      </w:r>
    </w:p>
    <w:p w14:paraId="6653FCB2">
      <w:pPr>
        <w:pStyle w:val="8"/>
        <w:spacing w:line="24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依据贵方</w:t>
      </w:r>
      <w:r>
        <w:rPr>
          <w:rFonts w:hint="eastAsia" w:ascii="宋体" w:hAnsi="宋体" w:eastAsia="宋体" w:cs="宋体"/>
          <w:color w:val="auto"/>
          <w:highlight w:val="none"/>
          <w:u w:val="single"/>
        </w:rPr>
        <w:t>（采购项目名称/采购项目编号）</w:t>
      </w:r>
      <w:r>
        <w:rPr>
          <w:rFonts w:hint="eastAsia" w:ascii="宋体" w:hAnsi="宋体" w:eastAsia="宋体" w:cs="宋体"/>
          <w:color w:val="auto"/>
          <w:highlight w:val="none"/>
        </w:rPr>
        <w:t>项目采购的磋商邀请，我方</w:t>
      </w:r>
      <w:r>
        <w:rPr>
          <w:rFonts w:hint="eastAsia" w:ascii="宋体" w:hAnsi="宋体" w:eastAsia="宋体" w:cs="宋体"/>
          <w:color w:val="auto"/>
          <w:highlight w:val="none"/>
          <w:u w:val="single"/>
        </w:rPr>
        <w:t>（姓名和职务）</w:t>
      </w:r>
      <w:r>
        <w:rPr>
          <w:rFonts w:hint="eastAsia" w:ascii="宋体" w:hAnsi="宋体" w:eastAsia="宋体" w:cs="宋体"/>
          <w:color w:val="auto"/>
          <w:highlight w:val="none"/>
        </w:rPr>
        <w:t>经正式授权并代表本单位</w:t>
      </w:r>
      <w:r>
        <w:rPr>
          <w:rFonts w:hint="eastAsia" w:ascii="宋体" w:hAnsi="宋体" w:eastAsia="宋体" w:cs="宋体"/>
          <w:color w:val="auto"/>
          <w:highlight w:val="none"/>
          <w:u w:val="single"/>
        </w:rPr>
        <w:t>（磋商供应商名称、地址）</w:t>
      </w:r>
      <w:r>
        <w:rPr>
          <w:rFonts w:hint="eastAsia" w:ascii="宋体" w:hAnsi="宋体" w:eastAsia="宋体" w:cs="宋体"/>
          <w:color w:val="auto"/>
          <w:highlight w:val="none"/>
        </w:rPr>
        <w:t>提交下述竞争性磋商响应文件</w:t>
      </w:r>
      <w:r>
        <w:rPr>
          <w:rFonts w:hint="eastAsia" w:ascii="宋体" w:hAnsi="宋体" w:eastAsia="宋体" w:cs="宋体"/>
          <w:b/>
          <w:color w:val="auto"/>
          <w:highlight w:val="none"/>
        </w:rPr>
        <w:t>（价格文件、商务技术文件），其中</w:t>
      </w:r>
      <w:r>
        <w:rPr>
          <w:rFonts w:hint="eastAsia" w:ascii="宋体" w:hAnsi="宋体" w:eastAsia="宋体" w:cs="宋体"/>
          <w:color w:val="auto"/>
          <w:highlight w:val="none"/>
        </w:rPr>
        <w:t>正本</w:t>
      </w:r>
      <w:r>
        <w:rPr>
          <w:rFonts w:hint="eastAsia" w:ascii="宋体" w:hAnsi="宋体" w:eastAsia="宋体" w:cs="宋体"/>
          <w:color w:val="auto"/>
          <w:highlight w:val="none"/>
          <w:u w:val="single"/>
        </w:rPr>
        <w:t>一</w:t>
      </w:r>
      <w:r>
        <w:rPr>
          <w:rFonts w:hint="eastAsia" w:ascii="宋体" w:hAnsi="宋体" w:eastAsia="宋体" w:cs="宋体"/>
          <w:color w:val="auto"/>
          <w:highlight w:val="none"/>
        </w:rPr>
        <w:t>份、副本</w:t>
      </w:r>
      <w:r>
        <w:rPr>
          <w:rFonts w:hint="eastAsia" w:ascii="宋体" w:hAnsi="宋体" w:eastAsia="宋体" w:cs="宋体"/>
          <w:color w:val="auto"/>
          <w:highlight w:val="none"/>
          <w:u w:val="single"/>
        </w:rPr>
        <w:t>四</w:t>
      </w:r>
      <w:r>
        <w:rPr>
          <w:rFonts w:hint="eastAsia" w:ascii="宋体" w:hAnsi="宋体" w:eastAsia="宋体" w:cs="宋体"/>
          <w:color w:val="auto"/>
          <w:highlight w:val="none"/>
        </w:rPr>
        <w:t>份。供应商在递交响应文件时，同时递交响应文件电子版（将响应文件电子版U盘与纸质版响应文件一并装入响应文件袋中。）</w:t>
      </w:r>
    </w:p>
    <w:p w14:paraId="63F7BA93">
      <w:pPr>
        <w:pStyle w:val="8"/>
        <w:spacing w:line="24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 报价表；</w:t>
      </w:r>
    </w:p>
    <w:p w14:paraId="7C1EF1C4">
      <w:pPr>
        <w:pStyle w:val="8"/>
        <w:spacing w:line="24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 商务、技术响应、偏离情况说明表；</w:t>
      </w:r>
    </w:p>
    <w:p w14:paraId="6EA00DDA">
      <w:pPr>
        <w:pStyle w:val="8"/>
        <w:spacing w:line="24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 资格证明文件；</w:t>
      </w:r>
    </w:p>
    <w:p w14:paraId="0B17C70E">
      <w:pPr>
        <w:pStyle w:val="8"/>
        <w:spacing w:line="24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4. 按竞争性磋商文件磋商供应商须知和采购需求提供的有关文件；</w:t>
      </w:r>
    </w:p>
    <w:p w14:paraId="4DBDD7CF">
      <w:pPr>
        <w:pStyle w:val="8"/>
        <w:spacing w:line="24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在此，授权代表宣布同意如下：</w:t>
      </w:r>
    </w:p>
    <w:p w14:paraId="2605D781">
      <w:pPr>
        <w:pStyle w:val="8"/>
        <w:spacing w:line="24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1. 将按竞争性磋商文件的约定履行合同责任和义务；</w:t>
      </w:r>
    </w:p>
    <w:p w14:paraId="2A65258B">
      <w:pPr>
        <w:pStyle w:val="8"/>
        <w:spacing w:line="24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2. 已详细审查全部竞争性磋商文件，包括</w:t>
      </w:r>
      <w:r>
        <w:rPr>
          <w:rFonts w:hint="eastAsia" w:ascii="宋体" w:hAnsi="宋体" w:eastAsia="宋体" w:cs="宋体"/>
          <w:color w:val="auto"/>
          <w:highlight w:val="none"/>
          <w:u w:val="single"/>
        </w:rPr>
        <w:t>（补遗文件）（如果有的话）</w:t>
      </w:r>
      <w:r>
        <w:rPr>
          <w:rFonts w:hint="eastAsia" w:ascii="宋体" w:hAnsi="宋体" w:eastAsia="宋体" w:cs="宋体"/>
          <w:color w:val="auto"/>
          <w:highlight w:val="none"/>
        </w:rPr>
        <w:t>；</w:t>
      </w:r>
    </w:p>
    <w:p w14:paraId="07401963">
      <w:pPr>
        <w:pStyle w:val="8"/>
        <w:spacing w:line="240" w:lineRule="auto"/>
        <w:ind w:firstLine="480"/>
        <w:rPr>
          <w:rFonts w:hint="eastAsia" w:ascii="宋体" w:hAnsi="宋体" w:eastAsia="宋体" w:cs="宋体"/>
          <w:color w:val="auto"/>
          <w:highlight w:val="none"/>
        </w:rPr>
      </w:pPr>
      <w:r>
        <w:rPr>
          <w:rFonts w:hint="eastAsia" w:ascii="宋体" w:hAnsi="宋体" w:eastAsia="宋体" w:cs="宋体"/>
          <w:color w:val="auto"/>
          <w:highlight w:val="none"/>
        </w:rPr>
        <w:t>3. 同意提供按照贵方可能要求的与其磋商有关的一切数据或资料；</w:t>
      </w:r>
    </w:p>
    <w:p w14:paraId="24BC30CB">
      <w:pPr>
        <w:pStyle w:val="8"/>
        <w:spacing w:line="240" w:lineRule="auto"/>
        <w:ind w:firstLine="480"/>
        <w:rPr>
          <w:rFonts w:hint="eastAsia" w:ascii="宋体" w:hAnsi="宋体" w:eastAsia="宋体" w:cs="宋体"/>
          <w:color w:val="auto"/>
          <w:highlight w:val="none"/>
          <w:u w:val="single"/>
        </w:rPr>
      </w:pPr>
      <w:r>
        <w:rPr>
          <w:rFonts w:hint="eastAsia" w:ascii="宋体" w:hAnsi="宋体" w:eastAsia="宋体" w:cs="宋体"/>
          <w:color w:val="auto"/>
          <w:highlight w:val="none"/>
        </w:rPr>
        <w:t>4. 与本磋商有关的一切正式往来信函请寄：</w:t>
      </w:r>
      <w:r>
        <w:rPr>
          <w:rFonts w:hint="eastAsia" w:ascii="宋体" w:hAnsi="宋体" w:eastAsia="宋体" w:cs="宋体"/>
          <w:color w:val="auto"/>
          <w:highlight w:val="none"/>
          <w:u w:val="single"/>
        </w:rPr>
        <w:t xml:space="preserve">                                    </w:t>
      </w:r>
    </w:p>
    <w:p w14:paraId="23F34897">
      <w:pPr>
        <w:pStyle w:val="8"/>
        <w:spacing w:line="240" w:lineRule="auto"/>
        <w:ind w:firstLine="840"/>
        <w:rPr>
          <w:rFonts w:hint="eastAsia" w:ascii="宋体" w:hAnsi="宋体" w:eastAsia="宋体" w:cs="宋体"/>
          <w:color w:val="auto"/>
          <w:highlight w:val="none"/>
          <w:u w:val="single"/>
        </w:rPr>
      </w:pPr>
      <w:r>
        <w:rPr>
          <w:rFonts w:hint="eastAsia" w:ascii="宋体" w:hAnsi="宋体" w:eastAsia="宋体" w:cs="宋体"/>
          <w:color w:val="auto"/>
          <w:highlight w:val="none"/>
        </w:rPr>
        <w:t>开户银行：</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账号/行号：</w:t>
      </w:r>
      <w:r>
        <w:rPr>
          <w:rFonts w:hint="eastAsia" w:ascii="宋体" w:hAnsi="宋体" w:eastAsia="宋体" w:cs="宋体"/>
          <w:color w:val="auto"/>
          <w:highlight w:val="none"/>
          <w:u w:val="single"/>
        </w:rPr>
        <w:t xml:space="preserve">                       </w:t>
      </w:r>
    </w:p>
    <w:p w14:paraId="4CEA79D3">
      <w:pPr>
        <w:pStyle w:val="8"/>
        <w:spacing w:line="240" w:lineRule="auto"/>
        <w:ind w:firstLine="840"/>
        <w:rPr>
          <w:rFonts w:hint="eastAsia" w:ascii="宋体" w:hAnsi="宋体" w:eastAsia="宋体" w:cs="宋体"/>
          <w:color w:val="auto"/>
          <w:highlight w:val="none"/>
        </w:rPr>
      </w:pPr>
      <w:r>
        <w:rPr>
          <w:rFonts w:hint="eastAsia" w:ascii="宋体" w:hAnsi="宋体" w:eastAsia="宋体" w:cs="宋体"/>
          <w:color w:val="auto"/>
          <w:highlight w:val="none"/>
        </w:rPr>
        <w:t>电话/传真：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电子函件：</w:t>
      </w:r>
      <w:r>
        <w:rPr>
          <w:rFonts w:hint="eastAsia" w:ascii="宋体" w:hAnsi="宋体" w:eastAsia="宋体" w:cs="宋体"/>
          <w:color w:val="auto"/>
          <w:highlight w:val="none"/>
          <w:u w:val="single"/>
        </w:rPr>
        <w:t xml:space="preserve">                         </w:t>
      </w:r>
    </w:p>
    <w:p w14:paraId="5DDEEF3E">
      <w:pPr>
        <w:pStyle w:val="8"/>
        <w:spacing w:line="240" w:lineRule="auto"/>
        <w:ind w:firstLine="840"/>
        <w:rPr>
          <w:rFonts w:hint="eastAsia" w:ascii="宋体" w:hAnsi="宋体" w:eastAsia="宋体" w:cs="宋体"/>
          <w:color w:val="auto"/>
          <w:highlight w:val="none"/>
          <w:u w:val="single"/>
        </w:rPr>
      </w:pPr>
      <w:r>
        <w:rPr>
          <w:rFonts w:hint="eastAsia" w:ascii="宋体" w:hAnsi="宋体" w:eastAsia="宋体" w:cs="宋体"/>
          <w:color w:val="auto"/>
          <w:highlight w:val="none"/>
        </w:rPr>
        <w:t>日期：</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7F6D3DED">
      <w:pPr>
        <w:pStyle w:val="8"/>
        <w:spacing w:line="240" w:lineRule="auto"/>
        <w:ind w:firstLine="840"/>
        <w:rPr>
          <w:rFonts w:hint="eastAsia" w:ascii="宋体" w:hAnsi="宋体" w:eastAsia="宋体" w:cs="宋体"/>
          <w:color w:val="auto"/>
          <w:highlight w:val="none"/>
          <w:u w:val="single"/>
        </w:rPr>
      </w:pPr>
      <w:r>
        <w:rPr>
          <w:rFonts w:hint="eastAsia" w:ascii="宋体" w:hAnsi="宋体" w:eastAsia="宋体" w:cs="宋体"/>
          <w:color w:val="auto"/>
          <w:highlight w:val="none"/>
        </w:rPr>
        <w:t>法定代表人或委托代理人（被授权人）签字：</w:t>
      </w:r>
      <w:r>
        <w:rPr>
          <w:rFonts w:hint="eastAsia" w:ascii="宋体" w:hAnsi="宋体" w:eastAsia="宋体" w:cs="宋体"/>
          <w:color w:val="auto"/>
          <w:highlight w:val="none"/>
          <w:u w:val="single"/>
        </w:rPr>
        <w:t xml:space="preserve">                       </w:t>
      </w:r>
    </w:p>
    <w:p w14:paraId="0B3AD26B">
      <w:pPr>
        <w:pStyle w:val="8"/>
        <w:spacing w:line="240" w:lineRule="auto"/>
        <w:ind w:firstLine="840"/>
        <w:rPr>
          <w:rFonts w:hint="eastAsia" w:ascii="宋体" w:hAnsi="宋体" w:eastAsia="宋体" w:cs="宋体"/>
          <w:color w:val="auto"/>
          <w:szCs w:val="21"/>
          <w:highlight w:val="none"/>
        </w:rPr>
      </w:pPr>
      <w:r>
        <w:rPr>
          <w:rFonts w:hint="eastAsia" w:ascii="宋体" w:hAnsi="宋体" w:eastAsia="宋体" w:cs="宋体"/>
          <w:color w:val="auto"/>
          <w:highlight w:val="none"/>
        </w:rPr>
        <w:t>磋商供应商名称（盖章）：</w:t>
      </w:r>
      <w:r>
        <w:rPr>
          <w:rFonts w:hint="eastAsia" w:ascii="宋体" w:hAnsi="宋体" w:eastAsia="宋体" w:cs="宋体"/>
          <w:color w:val="auto"/>
          <w:highlight w:val="none"/>
          <w:u w:val="single"/>
        </w:rPr>
        <w:t xml:space="preserve">                                                </w:t>
      </w:r>
    </w:p>
    <w:p w14:paraId="0DEAAB3B">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color w:val="auto"/>
          <w:sz w:val="32"/>
          <w:szCs w:val="32"/>
          <w:highlight w:val="none"/>
        </w:rPr>
        <w:br w:type="page"/>
      </w:r>
      <w:r>
        <w:rPr>
          <w:rFonts w:hint="eastAsia" w:ascii="宋体" w:hAnsi="宋体" w:eastAsia="宋体" w:cs="宋体"/>
          <w:b/>
          <w:color w:val="auto"/>
          <w:sz w:val="32"/>
          <w:szCs w:val="32"/>
          <w:highlight w:val="none"/>
        </w:rPr>
        <w:t>磋商声明书</w:t>
      </w:r>
    </w:p>
    <w:p w14:paraId="1531D05E">
      <w:pPr>
        <w:spacing w:line="360" w:lineRule="auto"/>
        <w:jc w:val="center"/>
        <w:rPr>
          <w:rFonts w:hint="eastAsia" w:ascii="宋体" w:hAnsi="宋体" w:eastAsia="宋体" w:cs="宋体"/>
          <w:color w:val="auto"/>
          <w:sz w:val="24"/>
          <w:szCs w:val="20"/>
          <w:highlight w:val="none"/>
        </w:rPr>
      </w:pPr>
    </w:p>
    <w:p w14:paraId="0A4D6277">
      <w:pPr>
        <w:snapToGrid w:val="0"/>
        <w:spacing w:before="156" w:beforeLines="50" w:after="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广西国建项目管理有限公司</w:t>
      </w:r>
      <w:r>
        <w:rPr>
          <w:rFonts w:hint="eastAsia" w:ascii="宋体" w:hAnsi="宋体" w:eastAsia="宋体" w:cs="宋体"/>
          <w:color w:val="auto"/>
          <w:szCs w:val="21"/>
          <w:highlight w:val="none"/>
        </w:rPr>
        <w:t>：</w:t>
      </w:r>
    </w:p>
    <w:p w14:paraId="55577EE1">
      <w:pPr>
        <w:snapToGrid w:val="0"/>
        <w:spacing w:before="156" w:beforeLines="50" w:after="50"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（供应商名称）系中华人民共和国合法企业，经营地址</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w:t>
      </w:r>
    </w:p>
    <w:p w14:paraId="0935D5C9">
      <w:pPr>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（姓名）系</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（供应商名称）的法定代表人，我方愿意参加贵方组织的</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项目的磋商活动，为便于贵方公正、择优地确定成交供应商及其竞标产品和服务，我方就本次磋商有关事项郑重声明如下：</w:t>
      </w:r>
    </w:p>
    <w:p w14:paraId="411542B2">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1.我方向贵方提交的所有响应文件、资料都是准确的和真实的。</w:t>
      </w:r>
    </w:p>
    <w:p w14:paraId="19DDEFD9">
      <w:pPr>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2.我方不是采购人的附属机构；在获知本项目采购信息后，与采购人聘请的为此项目提供服务的公司及其附属机构没有任何联系。</w:t>
      </w:r>
    </w:p>
    <w:p w14:paraId="5E1854BE">
      <w:pPr>
        <w:snapToGrid w:val="0"/>
        <w:spacing w:before="156" w:beforeLines="50"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3.我方此次向贵方提供的产品（服务）名称为：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；我方承诺具备履行合同所必需的设备和专业技术能力。</w:t>
      </w:r>
    </w:p>
    <w:p w14:paraId="7346C37E">
      <w:pPr>
        <w:pStyle w:val="5"/>
        <w:snapToGrid w:val="0"/>
        <w:spacing w:line="36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 以上事项如有虚假或隐瞒，我方愿意承担一切后果，并不再寻求任何旨在减轻或免除法律责任的辩解。</w:t>
      </w:r>
    </w:p>
    <w:p w14:paraId="31F4B657">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.我方就对本次响应文件进行注明如下：（两项内容中必须选择一项）</w:t>
      </w:r>
    </w:p>
    <w:p w14:paraId="754BDF23">
      <w:pP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□我方本次响应文件</w:t>
      </w:r>
      <w:r>
        <w:rPr>
          <w:rFonts w:hint="eastAsia" w:ascii="宋体" w:hAnsi="宋体" w:eastAsia="宋体" w:cs="宋体"/>
          <w:color w:val="auto"/>
          <w:kern w:val="0"/>
          <w:szCs w:val="21"/>
          <w:highlight w:val="none"/>
        </w:rPr>
        <w:t>内容中</w:t>
      </w:r>
      <w:r>
        <w:rPr>
          <w:rFonts w:hint="eastAsia" w:ascii="宋体" w:hAnsi="宋体" w:eastAsia="宋体" w:cs="宋体"/>
          <w:color w:val="auto"/>
          <w:szCs w:val="21"/>
          <w:highlight w:val="none"/>
        </w:rPr>
        <w:t>未</w:t>
      </w:r>
      <w:r>
        <w:rPr>
          <w:rFonts w:hint="eastAsia" w:ascii="宋体" w:hAnsi="宋体" w:eastAsia="宋体" w:cs="宋体"/>
          <w:color w:val="auto"/>
          <w:kern w:val="0"/>
          <w:szCs w:val="21"/>
          <w:highlight w:val="none"/>
        </w:rPr>
        <w:t>涉及商业秘密；</w:t>
      </w:r>
    </w:p>
    <w:p w14:paraId="63BAC343">
      <w:pPr>
        <w:spacing w:line="360" w:lineRule="auto"/>
        <w:ind w:firstLine="42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□我方本次响应文件</w:t>
      </w:r>
      <w:r>
        <w:rPr>
          <w:rFonts w:hint="eastAsia" w:ascii="宋体" w:hAnsi="宋体" w:eastAsia="宋体" w:cs="宋体"/>
          <w:color w:val="auto"/>
          <w:kern w:val="0"/>
          <w:szCs w:val="21"/>
          <w:highlight w:val="none"/>
        </w:rPr>
        <w:t>涉及商业秘密的内容有：</w:t>
      </w:r>
      <w:r>
        <w:rPr>
          <w:rFonts w:hint="eastAsia" w:ascii="宋体" w:hAnsi="宋体" w:eastAsia="宋体" w:cs="宋体"/>
          <w:color w:val="auto"/>
          <w:kern w:val="0"/>
          <w:szCs w:val="21"/>
          <w:highlight w:val="none"/>
          <w:u w:val="single"/>
        </w:rPr>
        <w:t xml:space="preserve">                         </w:t>
      </w:r>
      <w:r>
        <w:rPr>
          <w:rFonts w:hint="eastAsia" w:ascii="宋体" w:hAnsi="宋体" w:eastAsia="宋体" w:cs="宋体"/>
          <w:color w:val="auto"/>
          <w:kern w:val="0"/>
          <w:szCs w:val="21"/>
          <w:highlight w:val="none"/>
        </w:rPr>
        <w:t>；</w:t>
      </w:r>
    </w:p>
    <w:p w14:paraId="606748CC">
      <w:pPr>
        <w:snapToGrid w:val="0"/>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.我方在此声明，我方及由本人担任法定代表人的其他机构在参加本项目的采购活动前三年内，在经营活动中没有重大违法记录，我方对此声明负全部法律责任。</w:t>
      </w:r>
    </w:p>
    <w:p w14:paraId="6FCB4C44">
      <w:pPr>
        <w:pStyle w:val="7"/>
        <w:tabs>
          <w:tab w:val="left" w:pos="939"/>
        </w:tabs>
        <w:snapToGrid w:val="0"/>
        <w:spacing w:line="360" w:lineRule="auto"/>
        <w:ind w:left="849" w:leftChars="150" w:hanging="534" w:hangingChars="191"/>
        <w:rPr>
          <w:rFonts w:hint="eastAsia" w:ascii="宋体" w:hAnsi="宋体" w:eastAsia="宋体" w:cs="宋体"/>
          <w:color w:val="auto"/>
          <w:szCs w:val="21"/>
          <w:highlight w:val="none"/>
        </w:rPr>
      </w:pPr>
    </w:p>
    <w:p w14:paraId="52641667">
      <w:pPr>
        <w:pStyle w:val="17"/>
        <w:snapToGrid w:val="0"/>
        <w:spacing w:before="156" w:beforeLines="50" w:line="360" w:lineRule="auto"/>
        <w:ind w:firstLine="200"/>
        <w:rPr>
          <w:rFonts w:hint="eastAsia" w:ascii="宋体" w:hAnsi="宋体" w:eastAsia="宋体" w:cs="宋体"/>
          <w:color w:val="auto"/>
          <w:sz w:val="21"/>
          <w:szCs w:val="21"/>
          <w:highlight w:val="none"/>
        </w:rPr>
      </w:pPr>
    </w:p>
    <w:p w14:paraId="54272659">
      <w:pPr>
        <w:snapToGrid w:val="0"/>
        <w:spacing w:before="156" w:beforeLines="50" w:line="360" w:lineRule="auto"/>
        <w:ind w:right="480" w:firstLine="4792" w:firstLineChars="2282"/>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法定代表人（签字或盖章）：</w:t>
      </w:r>
      <w:r>
        <w:rPr>
          <w:rFonts w:hint="eastAsia" w:ascii="宋体" w:hAnsi="宋体" w:eastAsia="宋体" w:cs="宋体"/>
          <w:color w:val="auto"/>
          <w:szCs w:val="21"/>
          <w:highlight w:val="none"/>
          <w:u w:val="single"/>
        </w:rPr>
        <w:t xml:space="preserve">             </w:t>
      </w:r>
    </w:p>
    <w:p w14:paraId="4A2025DF">
      <w:pPr>
        <w:snapToGrid w:val="0"/>
        <w:spacing w:before="156" w:beforeLines="50" w:after="50" w:line="360" w:lineRule="auto"/>
        <w:ind w:right="480" w:firstLine="4830" w:firstLineChars="2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供应商公章：</w:t>
      </w:r>
      <w:r>
        <w:rPr>
          <w:rFonts w:hint="eastAsia" w:ascii="宋体" w:hAnsi="宋体" w:eastAsia="宋体" w:cs="宋体"/>
          <w:color w:val="auto"/>
          <w:szCs w:val="21"/>
          <w:highlight w:val="none"/>
          <w:u w:val="single"/>
        </w:rPr>
        <w:t xml:space="preserve">                 </w:t>
      </w:r>
    </w:p>
    <w:p w14:paraId="3C3BC488">
      <w:pPr>
        <w:snapToGrid w:val="0"/>
        <w:spacing w:before="156" w:beforeLines="50" w:after="50" w:line="360" w:lineRule="auto"/>
        <w:ind w:right="480" w:firstLine="210" w:firstLineChars="1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年    月    日</w:t>
      </w:r>
    </w:p>
    <w:p w14:paraId="250805B0">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color w:val="auto"/>
          <w:szCs w:val="21"/>
          <w:highlight w:val="none"/>
        </w:rPr>
        <w:br w:type="page"/>
      </w:r>
      <w:bookmarkStart w:id="41" w:name="_Hlk185949326"/>
      <w:bookmarkStart w:id="42" w:name="_Hlk185949308"/>
      <w:r>
        <w:rPr>
          <w:rFonts w:hint="eastAsia" w:ascii="宋体" w:hAnsi="宋体" w:eastAsia="宋体" w:cs="宋体"/>
          <w:b/>
          <w:color w:val="auto"/>
          <w:sz w:val="32"/>
          <w:szCs w:val="32"/>
          <w:highlight w:val="none"/>
        </w:rPr>
        <w:t>无围标串标行为的承诺函</w:t>
      </w:r>
    </w:p>
    <w:bookmarkEnd w:id="41"/>
    <w:p w14:paraId="3FB2EDD3">
      <w:pPr>
        <w:keepNext w:val="0"/>
        <w:keepLines w:val="0"/>
        <w:pageBreakBefore w:val="0"/>
        <w:widowControl w:val="0"/>
        <w:kinsoku/>
        <w:wordWrap/>
        <w:overflowPunct/>
        <w:topLinePunct w:val="0"/>
        <w:autoSpaceDE/>
        <w:autoSpaceDN/>
        <w:bidi w:val="0"/>
        <w:spacing w:line="500" w:lineRule="exact"/>
        <w:contextualSpacing/>
        <w:jc w:val="left"/>
        <w:textAlignment w:val="auto"/>
        <w:rPr>
          <w:rFonts w:hint="eastAsia" w:ascii="宋体" w:hAnsi="宋体" w:eastAsia="宋体" w:cs="宋体"/>
          <w:b/>
          <w:color w:val="auto"/>
          <w:szCs w:val="21"/>
          <w:highlight w:val="none"/>
        </w:rPr>
      </w:pPr>
    </w:p>
    <w:p w14:paraId="7F143A5C">
      <w:pPr>
        <w:keepNext w:val="0"/>
        <w:keepLines w:val="0"/>
        <w:pageBreakBefore w:val="0"/>
        <w:widowControl w:val="0"/>
        <w:kinsoku/>
        <w:wordWrap/>
        <w:overflowPunct/>
        <w:topLinePunct w:val="0"/>
        <w:autoSpaceDE/>
        <w:autoSpaceDN/>
        <w:bidi w:val="0"/>
        <w:spacing w:line="500" w:lineRule="exact"/>
        <w:contextualSpacing/>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一、我方承诺无下列相互串通竞标的情形：</w:t>
      </w:r>
    </w:p>
    <w:p w14:paraId="3CF53AA0">
      <w:pPr>
        <w:keepNext w:val="0"/>
        <w:keepLines w:val="0"/>
        <w:pageBreakBefore w:val="0"/>
        <w:widowControl w:val="0"/>
        <w:kinsoku/>
        <w:wordWrap/>
        <w:overflowPunct/>
        <w:topLinePunct w:val="0"/>
        <w:autoSpaceDE/>
        <w:autoSpaceDN/>
        <w:bidi w:val="0"/>
        <w:spacing w:line="500" w:lineRule="exact"/>
        <w:ind w:firstLine="411" w:firstLineChars="196"/>
        <w:contextualSpacing/>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1.不同供应商的响应文件由同一单位或者个人编制；</w:t>
      </w:r>
    </w:p>
    <w:p w14:paraId="3383BAF6">
      <w:pPr>
        <w:keepNext w:val="0"/>
        <w:keepLines w:val="0"/>
        <w:pageBreakBefore w:val="0"/>
        <w:widowControl w:val="0"/>
        <w:kinsoku/>
        <w:wordWrap/>
        <w:overflowPunct/>
        <w:topLinePunct w:val="0"/>
        <w:autoSpaceDE/>
        <w:autoSpaceDN/>
        <w:bidi w:val="0"/>
        <w:spacing w:line="500" w:lineRule="exact"/>
        <w:ind w:firstLine="411" w:firstLineChars="196"/>
        <w:contextualSpacing/>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2.不同供应商委托同一单位或者个人办理竞标事宜；</w:t>
      </w:r>
    </w:p>
    <w:p w14:paraId="0A297350">
      <w:pPr>
        <w:keepNext w:val="0"/>
        <w:keepLines w:val="0"/>
        <w:pageBreakBefore w:val="0"/>
        <w:widowControl w:val="0"/>
        <w:kinsoku/>
        <w:wordWrap/>
        <w:overflowPunct/>
        <w:topLinePunct w:val="0"/>
        <w:autoSpaceDE/>
        <w:autoSpaceDN/>
        <w:bidi w:val="0"/>
        <w:spacing w:line="500" w:lineRule="exact"/>
        <w:ind w:firstLine="411" w:firstLineChars="196"/>
        <w:contextualSpacing/>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3.不同的供应商的响应文件载明的项目管理员为同一个人；</w:t>
      </w:r>
    </w:p>
    <w:p w14:paraId="13B567DF">
      <w:pPr>
        <w:keepNext w:val="0"/>
        <w:keepLines w:val="0"/>
        <w:pageBreakBefore w:val="0"/>
        <w:widowControl w:val="0"/>
        <w:kinsoku/>
        <w:wordWrap/>
        <w:overflowPunct/>
        <w:topLinePunct w:val="0"/>
        <w:autoSpaceDE/>
        <w:autoSpaceDN/>
        <w:bidi w:val="0"/>
        <w:spacing w:line="500" w:lineRule="exact"/>
        <w:ind w:firstLine="411" w:firstLineChars="196"/>
        <w:contextualSpacing/>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4.不同供应商的响应文件异常一致或者竞标报价呈规律性差异；</w:t>
      </w:r>
    </w:p>
    <w:p w14:paraId="6E22C764">
      <w:pPr>
        <w:keepNext w:val="0"/>
        <w:keepLines w:val="0"/>
        <w:pageBreakBefore w:val="0"/>
        <w:widowControl w:val="0"/>
        <w:kinsoku/>
        <w:wordWrap/>
        <w:overflowPunct/>
        <w:topLinePunct w:val="0"/>
        <w:autoSpaceDE/>
        <w:autoSpaceDN/>
        <w:bidi w:val="0"/>
        <w:spacing w:line="500" w:lineRule="exact"/>
        <w:ind w:firstLine="411" w:firstLineChars="196"/>
        <w:contextualSpacing/>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5.不同供应商的响应文件相互混装；</w:t>
      </w:r>
    </w:p>
    <w:p w14:paraId="26BE5E2B">
      <w:pPr>
        <w:keepNext w:val="0"/>
        <w:keepLines w:val="0"/>
        <w:pageBreakBefore w:val="0"/>
        <w:widowControl w:val="0"/>
        <w:kinsoku/>
        <w:wordWrap/>
        <w:overflowPunct/>
        <w:topLinePunct w:val="0"/>
        <w:autoSpaceDE/>
        <w:autoSpaceDN/>
        <w:bidi w:val="0"/>
        <w:spacing w:line="500" w:lineRule="exact"/>
        <w:ind w:firstLine="411" w:firstLineChars="196"/>
        <w:contextualSpacing/>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6.不同供应商的竞标保证金从同一单位或者个人账户转出。</w:t>
      </w:r>
    </w:p>
    <w:p w14:paraId="14C8AABB">
      <w:pPr>
        <w:keepNext w:val="0"/>
        <w:keepLines w:val="0"/>
        <w:pageBreakBefore w:val="0"/>
        <w:widowControl w:val="0"/>
        <w:kinsoku/>
        <w:wordWrap/>
        <w:overflowPunct/>
        <w:topLinePunct w:val="0"/>
        <w:autoSpaceDE/>
        <w:autoSpaceDN/>
        <w:bidi w:val="0"/>
        <w:spacing w:line="500" w:lineRule="exact"/>
        <w:contextualSpacing/>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二、我方承诺无下列恶意串通的情形：</w:t>
      </w:r>
    </w:p>
    <w:p w14:paraId="45F49940">
      <w:pPr>
        <w:keepNext w:val="0"/>
        <w:keepLines w:val="0"/>
        <w:pageBreakBefore w:val="0"/>
        <w:widowControl w:val="0"/>
        <w:kinsoku/>
        <w:wordWrap/>
        <w:overflowPunct/>
        <w:topLinePunct w:val="0"/>
        <w:autoSpaceDE/>
        <w:autoSpaceDN/>
        <w:bidi w:val="0"/>
        <w:spacing w:line="500" w:lineRule="exact"/>
        <w:ind w:firstLine="411" w:firstLineChars="196"/>
        <w:contextualSpacing/>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1.供应商直接或者间接从采购人或者采购代理机构处获得其他供应商的相关信息并修改其响应文件；</w:t>
      </w:r>
    </w:p>
    <w:p w14:paraId="6193A603">
      <w:pPr>
        <w:keepNext w:val="0"/>
        <w:keepLines w:val="0"/>
        <w:pageBreakBefore w:val="0"/>
        <w:widowControl w:val="0"/>
        <w:kinsoku/>
        <w:wordWrap/>
        <w:overflowPunct/>
        <w:topLinePunct w:val="0"/>
        <w:autoSpaceDE/>
        <w:autoSpaceDN/>
        <w:bidi w:val="0"/>
        <w:spacing w:line="500" w:lineRule="exact"/>
        <w:ind w:firstLine="411" w:firstLineChars="196"/>
        <w:contextualSpacing/>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2.供应商按照采购人或者采购代理机构的授意撤换、修改响应文件；</w:t>
      </w:r>
    </w:p>
    <w:p w14:paraId="6843B5F7">
      <w:pPr>
        <w:keepNext w:val="0"/>
        <w:keepLines w:val="0"/>
        <w:pageBreakBefore w:val="0"/>
        <w:widowControl w:val="0"/>
        <w:kinsoku/>
        <w:wordWrap/>
        <w:overflowPunct/>
        <w:topLinePunct w:val="0"/>
        <w:autoSpaceDE/>
        <w:autoSpaceDN/>
        <w:bidi w:val="0"/>
        <w:spacing w:line="500" w:lineRule="exact"/>
        <w:ind w:firstLine="411" w:firstLineChars="196"/>
        <w:contextualSpacing/>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3.供应商之间协商报价、技术方案等响应文件或者响应文件的实质性内容；</w:t>
      </w:r>
    </w:p>
    <w:p w14:paraId="1C4D9B11">
      <w:pPr>
        <w:keepNext w:val="0"/>
        <w:keepLines w:val="0"/>
        <w:pageBreakBefore w:val="0"/>
        <w:widowControl w:val="0"/>
        <w:kinsoku/>
        <w:wordWrap/>
        <w:overflowPunct/>
        <w:topLinePunct w:val="0"/>
        <w:autoSpaceDE/>
        <w:autoSpaceDN/>
        <w:bidi w:val="0"/>
        <w:spacing w:line="500" w:lineRule="exact"/>
        <w:ind w:firstLine="411" w:firstLineChars="196"/>
        <w:contextualSpacing/>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4.属于同一集团、协会、商会等组织成员的供应商按照该组织要求协同参加采购活动；</w:t>
      </w:r>
    </w:p>
    <w:p w14:paraId="3D6FBFA5">
      <w:pPr>
        <w:keepNext w:val="0"/>
        <w:keepLines w:val="0"/>
        <w:pageBreakBefore w:val="0"/>
        <w:widowControl w:val="0"/>
        <w:kinsoku/>
        <w:wordWrap/>
        <w:overflowPunct/>
        <w:topLinePunct w:val="0"/>
        <w:autoSpaceDE/>
        <w:autoSpaceDN/>
        <w:bidi w:val="0"/>
        <w:spacing w:line="500" w:lineRule="exact"/>
        <w:ind w:firstLine="411" w:firstLineChars="196"/>
        <w:contextualSpacing/>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5.供应商之间事先约定一致抬高或者压低竞标报价，或者在招标采购项目中事先约定轮流以高价位或者低价位中标，或者事先约定由某一特定供应商中标（成交），然后再参加竞标；</w:t>
      </w:r>
    </w:p>
    <w:p w14:paraId="37E53C0A">
      <w:pPr>
        <w:keepNext w:val="0"/>
        <w:keepLines w:val="0"/>
        <w:pageBreakBefore w:val="0"/>
        <w:widowControl w:val="0"/>
        <w:kinsoku/>
        <w:wordWrap/>
        <w:overflowPunct/>
        <w:topLinePunct w:val="0"/>
        <w:autoSpaceDE/>
        <w:autoSpaceDN/>
        <w:bidi w:val="0"/>
        <w:spacing w:line="500" w:lineRule="exact"/>
        <w:ind w:firstLine="411" w:firstLineChars="196"/>
        <w:contextualSpacing/>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6.供应商之间商定部分供应商放弃参加政府采购活动或者放弃中标（成交）；</w:t>
      </w:r>
    </w:p>
    <w:p w14:paraId="17FB101E">
      <w:pPr>
        <w:keepNext w:val="0"/>
        <w:keepLines w:val="0"/>
        <w:pageBreakBefore w:val="0"/>
        <w:widowControl w:val="0"/>
        <w:kinsoku/>
        <w:wordWrap/>
        <w:overflowPunct/>
        <w:topLinePunct w:val="0"/>
        <w:autoSpaceDE/>
        <w:autoSpaceDN/>
        <w:bidi w:val="0"/>
        <w:spacing w:line="500" w:lineRule="exact"/>
        <w:ind w:firstLine="411" w:firstLineChars="196"/>
        <w:contextualSpacing/>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7.供应商与采购人或者采购代理机构之间、供应商相互之间，为谋求特定供应商中标（成交）或者排斥其他供应商的其他串通行为。</w:t>
      </w:r>
    </w:p>
    <w:p w14:paraId="229A7636">
      <w:pPr>
        <w:keepNext w:val="0"/>
        <w:keepLines w:val="0"/>
        <w:pageBreakBefore w:val="0"/>
        <w:widowControl w:val="0"/>
        <w:kinsoku/>
        <w:wordWrap/>
        <w:overflowPunct/>
        <w:topLinePunct w:val="0"/>
        <w:autoSpaceDE/>
        <w:autoSpaceDN/>
        <w:bidi w:val="0"/>
        <w:spacing w:line="500" w:lineRule="exact"/>
        <w:ind w:firstLine="211" w:firstLineChars="100"/>
        <w:contextualSpacing/>
        <w:jc w:val="lef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以上情形一经核查属实，我方愿意承担一切后果，并不再寻求任何旨在减轻或者免除法律责任的辩解。</w:t>
      </w:r>
    </w:p>
    <w:p w14:paraId="4DC73B70">
      <w:pPr>
        <w:keepNext w:val="0"/>
        <w:keepLines w:val="0"/>
        <w:pageBreakBefore w:val="0"/>
        <w:widowControl w:val="0"/>
        <w:kinsoku/>
        <w:wordWrap/>
        <w:overflowPunct/>
        <w:topLinePunct w:val="0"/>
        <w:autoSpaceDE/>
        <w:autoSpaceDN/>
        <w:bidi w:val="0"/>
        <w:spacing w:line="500" w:lineRule="exact"/>
        <w:ind w:firstLine="211" w:firstLineChars="100"/>
        <w:contextualSpacing/>
        <w:jc w:val="left"/>
        <w:textAlignment w:val="auto"/>
        <w:rPr>
          <w:rFonts w:hint="eastAsia" w:ascii="宋体" w:hAnsi="宋体" w:eastAsia="宋体" w:cs="宋体"/>
          <w:b/>
          <w:color w:val="auto"/>
          <w:szCs w:val="21"/>
          <w:highlight w:val="none"/>
        </w:rPr>
      </w:pPr>
    </w:p>
    <w:p w14:paraId="42A9A8CB">
      <w:pPr>
        <w:keepNext w:val="0"/>
        <w:keepLines w:val="0"/>
        <w:pageBreakBefore w:val="0"/>
        <w:widowControl w:val="0"/>
        <w:kinsoku/>
        <w:wordWrap/>
        <w:overflowPunct/>
        <w:topLinePunct w:val="0"/>
        <w:autoSpaceDE/>
        <w:autoSpaceDN/>
        <w:bidi w:val="0"/>
        <w:spacing w:line="500" w:lineRule="exact"/>
        <w:ind w:firstLine="4609" w:firstLineChars="2195"/>
        <w:contextualSpacing/>
        <w:jc w:val="lef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法定代表人或者委托代理人（签字）：</w:t>
      </w:r>
      <w:r>
        <w:rPr>
          <w:rFonts w:hint="eastAsia" w:ascii="宋体" w:hAnsi="宋体" w:eastAsia="宋体" w:cs="宋体"/>
          <w:color w:val="auto"/>
          <w:szCs w:val="21"/>
          <w:highlight w:val="none"/>
          <w:u w:val="single"/>
        </w:rPr>
        <w:t xml:space="preserve">             </w:t>
      </w:r>
    </w:p>
    <w:p w14:paraId="705435AA">
      <w:pPr>
        <w:keepNext w:val="0"/>
        <w:keepLines w:val="0"/>
        <w:pageBreakBefore w:val="0"/>
        <w:widowControl w:val="0"/>
        <w:kinsoku/>
        <w:wordWrap/>
        <w:overflowPunct/>
        <w:topLinePunct w:val="0"/>
        <w:autoSpaceDE/>
        <w:autoSpaceDN/>
        <w:bidi w:val="0"/>
        <w:spacing w:line="500" w:lineRule="exact"/>
        <w:ind w:firstLine="411" w:firstLineChars="196"/>
        <w:contextualSpacing/>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供应商名称（公章）：</w:t>
      </w:r>
      <w:r>
        <w:rPr>
          <w:rFonts w:hint="eastAsia" w:ascii="宋体" w:hAnsi="宋体" w:eastAsia="宋体" w:cs="宋体"/>
          <w:color w:val="auto"/>
          <w:szCs w:val="21"/>
          <w:highlight w:val="none"/>
          <w:u w:val="single"/>
        </w:rPr>
        <w:t xml:space="preserve">             </w:t>
      </w:r>
    </w:p>
    <w:p w14:paraId="0A31A4F7">
      <w:pPr>
        <w:keepNext w:val="0"/>
        <w:keepLines w:val="0"/>
        <w:pageBreakBefore w:val="0"/>
        <w:widowControl w:val="0"/>
        <w:kinsoku/>
        <w:wordWrap/>
        <w:overflowPunct/>
        <w:topLinePunct w:val="0"/>
        <w:autoSpaceDE/>
        <w:autoSpaceDN/>
        <w:bidi w:val="0"/>
        <w:spacing w:line="500" w:lineRule="exact"/>
        <w:ind w:firstLine="411" w:firstLineChars="196"/>
        <w:contextualSpacing/>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bookmarkEnd w:id="42"/>
    </w:p>
    <w:p w14:paraId="0FABD534">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br w:type="page"/>
      </w:r>
      <w:r>
        <w:rPr>
          <w:rFonts w:hint="eastAsia" w:ascii="宋体" w:hAnsi="宋体" w:eastAsia="宋体" w:cs="宋体"/>
          <w:b/>
          <w:color w:val="auto"/>
          <w:szCs w:val="21"/>
          <w:highlight w:val="none"/>
        </w:rPr>
        <w:t xml:space="preserve">附件三 </w:t>
      </w:r>
    </w:p>
    <w:p w14:paraId="7BDCACF8">
      <w:pPr>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商务、技术（服务）响应、偏离情况说明表</w:t>
      </w:r>
    </w:p>
    <w:p w14:paraId="24BE8BC9">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Cs w:val="21"/>
          <w:highlight w:val="none"/>
        </w:rPr>
      </w:pPr>
    </w:p>
    <w:p w14:paraId="1F31FAE5">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采购项目名称：</w:t>
      </w:r>
      <w:r>
        <w:rPr>
          <w:rFonts w:hint="eastAsia" w:ascii="宋体" w:hAnsi="宋体" w:eastAsia="宋体" w:cs="宋体"/>
          <w:color w:val="auto"/>
          <w:szCs w:val="21"/>
          <w:highlight w:val="none"/>
          <w:u w:val="single"/>
        </w:rPr>
        <w:t xml:space="preserve">                 </w:t>
      </w:r>
    </w:p>
    <w:p w14:paraId="432B8C10">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采购项目编号：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3CCCDE6A">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分标号（如有）：</w:t>
      </w:r>
      <w:r>
        <w:rPr>
          <w:rFonts w:hint="eastAsia" w:ascii="宋体" w:hAnsi="宋体" w:eastAsia="宋体" w:cs="宋体"/>
          <w:color w:val="auto"/>
          <w:szCs w:val="21"/>
          <w:highlight w:val="none"/>
          <w:u w:val="single"/>
        </w:rPr>
        <w:t xml:space="preserve">                </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013"/>
        <w:gridCol w:w="3159"/>
        <w:gridCol w:w="1571"/>
        <w:gridCol w:w="1460"/>
      </w:tblGrid>
      <w:tr w14:paraId="3821C7D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noWrap w:val="0"/>
            <w:vAlign w:val="center"/>
          </w:tcPr>
          <w:p w14:paraId="38E324B5">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bookmarkStart w:id="43" w:name="_Toc254970588"/>
            <w:bookmarkStart w:id="44" w:name="_Toc254970729"/>
            <w:bookmarkStart w:id="45" w:name="_Toc173211900"/>
            <w:bookmarkStart w:id="46" w:name="_Toc173066401"/>
            <w:r>
              <w:rPr>
                <w:rFonts w:hint="eastAsia" w:ascii="宋体" w:hAnsi="宋体" w:eastAsia="宋体" w:cs="宋体"/>
                <w:color w:val="auto"/>
                <w:highlight w:val="none"/>
              </w:rPr>
              <w:t>序号</w:t>
            </w:r>
            <w:bookmarkEnd w:id="43"/>
            <w:bookmarkEnd w:id="44"/>
            <w:bookmarkEnd w:id="45"/>
            <w:bookmarkEnd w:id="46"/>
          </w:p>
        </w:tc>
        <w:tc>
          <w:tcPr>
            <w:tcW w:w="3013" w:type="dxa"/>
            <w:noWrap w:val="0"/>
            <w:vAlign w:val="center"/>
          </w:tcPr>
          <w:p w14:paraId="5E70335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bookmarkStart w:id="47" w:name="_Toc254970730"/>
            <w:bookmarkStart w:id="48" w:name="_Toc173066402"/>
            <w:bookmarkStart w:id="49" w:name="_Toc254970589"/>
            <w:bookmarkStart w:id="50" w:name="_Toc173211901"/>
            <w:r>
              <w:rPr>
                <w:rFonts w:hint="eastAsia" w:ascii="宋体" w:hAnsi="宋体" w:eastAsia="宋体" w:cs="宋体"/>
                <w:color w:val="auto"/>
                <w:highlight w:val="none"/>
              </w:rPr>
              <w:t>竞争性磋商文件要求</w:t>
            </w:r>
            <w:bookmarkEnd w:id="47"/>
            <w:bookmarkEnd w:id="48"/>
            <w:bookmarkEnd w:id="49"/>
            <w:bookmarkEnd w:id="50"/>
          </w:p>
        </w:tc>
        <w:tc>
          <w:tcPr>
            <w:tcW w:w="3159" w:type="dxa"/>
            <w:noWrap w:val="0"/>
            <w:vAlign w:val="center"/>
          </w:tcPr>
          <w:p w14:paraId="256E13F7">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bookmarkStart w:id="51" w:name="_Toc173211902"/>
            <w:bookmarkStart w:id="52" w:name="_Toc254970590"/>
            <w:bookmarkStart w:id="53" w:name="_Toc173066403"/>
            <w:bookmarkStart w:id="54" w:name="_Toc254970731"/>
            <w:r>
              <w:rPr>
                <w:rFonts w:hint="eastAsia" w:ascii="宋体" w:hAnsi="宋体" w:eastAsia="宋体" w:cs="宋体"/>
                <w:color w:val="auto"/>
                <w:highlight w:val="none"/>
              </w:rPr>
              <w:t>竞争性磋商响应文件具体响应</w:t>
            </w:r>
            <w:bookmarkEnd w:id="51"/>
            <w:bookmarkEnd w:id="52"/>
            <w:bookmarkEnd w:id="53"/>
            <w:bookmarkEnd w:id="54"/>
          </w:p>
        </w:tc>
        <w:tc>
          <w:tcPr>
            <w:tcW w:w="1571" w:type="dxa"/>
            <w:noWrap w:val="0"/>
            <w:vAlign w:val="center"/>
          </w:tcPr>
          <w:p w14:paraId="51402180">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bookmarkStart w:id="55" w:name="_Toc254970732"/>
            <w:bookmarkStart w:id="56" w:name="_Toc254970591"/>
            <w:bookmarkStart w:id="57" w:name="_Toc173066404"/>
            <w:bookmarkStart w:id="58" w:name="_Toc173211903"/>
            <w:r>
              <w:rPr>
                <w:rFonts w:hint="eastAsia" w:ascii="宋体" w:hAnsi="宋体" w:eastAsia="宋体" w:cs="宋体"/>
                <w:color w:val="auto"/>
                <w:highlight w:val="none"/>
              </w:rPr>
              <w:t>响应/偏离</w:t>
            </w:r>
            <w:bookmarkEnd w:id="55"/>
            <w:bookmarkEnd w:id="56"/>
            <w:bookmarkEnd w:id="57"/>
            <w:bookmarkEnd w:id="58"/>
          </w:p>
        </w:tc>
        <w:tc>
          <w:tcPr>
            <w:tcW w:w="1460" w:type="dxa"/>
            <w:noWrap w:val="0"/>
            <w:vAlign w:val="center"/>
          </w:tcPr>
          <w:p w14:paraId="42CBC66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bookmarkStart w:id="59" w:name="_Toc254970733"/>
            <w:bookmarkStart w:id="60" w:name="_Toc173211904"/>
            <w:bookmarkStart w:id="61" w:name="_Toc173066405"/>
            <w:bookmarkStart w:id="62" w:name="_Toc254970592"/>
            <w:r>
              <w:rPr>
                <w:rFonts w:hint="eastAsia" w:ascii="宋体" w:hAnsi="宋体" w:eastAsia="宋体" w:cs="宋体"/>
                <w:color w:val="auto"/>
                <w:highlight w:val="none"/>
              </w:rPr>
              <w:t>说明</w:t>
            </w:r>
            <w:bookmarkEnd w:id="59"/>
            <w:bookmarkEnd w:id="60"/>
            <w:bookmarkEnd w:id="61"/>
            <w:bookmarkEnd w:id="62"/>
          </w:p>
        </w:tc>
      </w:tr>
      <w:tr w14:paraId="1F8EFDB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noWrap w:val="0"/>
            <w:vAlign w:val="center"/>
          </w:tcPr>
          <w:p w14:paraId="3885B087">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bookmarkStart w:id="63" w:name="_Toc476258666"/>
            <w:r>
              <w:rPr>
                <w:rFonts w:hint="eastAsia" w:ascii="宋体" w:hAnsi="宋体" w:eastAsia="宋体" w:cs="宋体"/>
                <w:color w:val="auto"/>
                <w:highlight w:val="none"/>
              </w:rPr>
              <w:t>商务部分</w:t>
            </w:r>
            <w:bookmarkEnd w:id="63"/>
          </w:p>
        </w:tc>
      </w:tr>
      <w:tr w14:paraId="5DE22C9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651" w:type="dxa"/>
            <w:noWrap w:val="0"/>
            <w:vAlign w:val="center"/>
          </w:tcPr>
          <w:p w14:paraId="67231901">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bookmarkStart w:id="64" w:name="_Toc173211905"/>
            <w:bookmarkStart w:id="65" w:name="_Toc173066406"/>
            <w:bookmarkStart w:id="66" w:name="_Toc254970593"/>
            <w:bookmarkStart w:id="67" w:name="_Toc254970734"/>
            <w:r>
              <w:rPr>
                <w:rFonts w:hint="eastAsia" w:ascii="宋体" w:hAnsi="宋体" w:eastAsia="宋体" w:cs="宋体"/>
                <w:color w:val="auto"/>
                <w:highlight w:val="none"/>
              </w:rPr>
              <w:t>1</w:t>
            </w:r>
            <w:bookmarkEnd w:id="64"/>
            <w:bookmarkEnd w:id="65"/>
            <w:bookmarkEnd w:id="66"/>
            <w:bookmarkEnd w:id="67"/>
          </w:p>
        </w:tc>
        <w:tc>
          <w:tcPr>
            <w:tcW w:w="3013" w:type="dxa"/>
            <w:noWrap w:val="0"/>
            <w:vAlign w:val="center"/>
          </w:tcPr>
          <w:p w14:paraId="12573B25">
            <w:pPr>
              <w:keepNext w:val="0"/>
              <w:keepLines w:val="0"/>
              <w:pageBreakBefore w:val="0"/>
              <w:widowControl w:val="0"/>
              <w:tabs>
                <w:tab w:val="left" w:pos="180"/>
                <w:tab w:val="left" w:pos="1620"/>
              </w:tabs>
              <w:kinsoku/>
              <w:wordWrap/>
              <w:overflowPunct/>
              <w:topLinePunct w:val="0"/>
              <w:autoSpaceDE/>
              <w:autoSpaceDN/>
              <w:bidi w:val="0"/>
              <w:spacing w:line="500" w:lineRule="exact"/>
              <w:jc w:val="center"/>
              <w:textAlignment w:val="auto"/>
              <w:rPr>
                <w:rFonts w:hint="eastAsia" w:ascii="宋体" w:hAnsi="宋体" w:eastAsia="宋体" w:cs="宋体"/>
                <w:color w:val="auto"/>
                <w:szCs w:val="21"/>
                <w:highlight w:val="none"/>
              </w:rPr>
            </w:pPr>
          </w:p>
        </w:tc>
        <w:tc>
          <w:tcPr>
            <w:tcW w:w="3159" w:type="dxa"/>
            <w:noWrap w:val="0"/>
            <w:vAlign w:val="top"/>
          </w:tcPr>
          <w:p w14:paraId="68419E35">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highlight w:val="none"/>
              </w:rPr>
            </w:pPr>
          </w:p>
        </w:tc>
        <w:tc>
          <w:tcPr>
            <w:tcW w:w="1571" w:type="dxa"/>
            <w:noWrap w:val="0"/>
            <w:vAlign w:val="center"/>
          </w:tcPr>
          <w:p w14:paraId="1A69A99C">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p>
        </w:tc>
        <w:tc>
          <w:tcPr>
            <w:tcW w:w="1460" w:type="dxa"/>
            <w:noWrap w:val="0"/>
            <w:vAlign w:val="center"/>
          </w:tcPr>
          <w:p w14:paraId="7B801AE2">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p>
        </w:tc>
      </w:tr>
      <w:tr w14:paraId="2578A3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3AF51CFC">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bookmarkStart w:id="68" w:name="_Toc173211906"/>
            <w:bookmarkStart w:id="69" w:name="_Toc254970735"/>
            <w:bookmarkStart w:id="70" w:name="_Toc254970594"/>
            <w:bookmarkStart w:id="71" w:name="_Toc173066407"/>
            <w:r>
              <w:rPr>
                <w:rFonts w:hint="eastAsia" w:ascii="宋体" w:hAnsi="宋体" w:eastAsia="宋体" w:cs="宋体"/>
                <w:color w:val="auto"/>
                <w:highlight w:val="none"/>
              </w:rPr>
              <w:t>2</w:t>
            </w:r>
            <w:bookmarkEnd w:id="68"/>
            <w:bookmarkEnd w:id="69"/>
            <w:bookmarkEnd w:id="70"/>
            <w:bookmarkEnd w:id="71"/>
          </w:p>
        </w:tc>
        <w:tc>
          <w:tcPr>
            <w:tcW w:w="3013" w:type="dxa"/>
            <w:noWrap w:val="0"/>
            <w:vAlign w:val="center"/>
          </w:tcPr>
          <w:p w14:paraId="7E721560">
            <w:pPr>
              <w:keepNext w:val="0"/>
              <w:keepLines w:val="0"/>
              <w:pageBreakBefore w:val="0"/>
              <w:widowControl w:val="0"/>
              <w:tabs>
                <w:tab w:val="left" w:pos="180"/>
                <w:tab w:val="left" w:pos="1620"/>
              </w:tabs>
              <w:kinsoku/>
              <w:wordWrap/>
              <w:overflowPunct/>
              <w:topLinePunct w:val="0"/>
              <w:autoSpaceDE/>
              <w:autoSpaceDN/>
              <w:bidi w:val="0"/>
              <w:spacing w:line="500" w:lineRule="exact"/>
              <w:jc w:val="center"/>
              <w:textAlignment w:val="auto"/>
              <w:rPr>
                <w:rFonts w:hint="eastAsia" w:ascii="宋体" w:hAnsi="宋体" w:eastAsia="宋体" w:cs="宋体"/>
                <w:color w:val="auto"/>
                <w:szCs w:val="21"/>
                <w:highlight w:val="none"/>
              </w:rPr>
            </w:pPr>
          </w:p>
        </w:tc>
        <w:tc>
          <w:tcPr>
            <w:tcW w:w="3159" w:type="dxa"/>
            <w:noWrap w:val="0"/>
            <w:vAlign w:val="top"/>
          </w:tcPr>
          <w:p w14:paraId="3DD4CA45">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highlight w:val="none"/>
              </w:rPr>
            </w:pPr>
          </w:p>
        </w:tc>
        <w:tc>
          <w:tcPr>
            <w:tcW w:w="1571" w:type="dxa"/>
            <w:noWrap w:val="0"/>
            <w:vAlign w:val="center"/>
          </w:tcPr>
          <w:p w14:paraId="6BD7D446">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p>
        </w:tc>
        <w:tc>
          <w:tcPr>
            <w:tcW w:w="1460" w:type="dxa"/>
            <w:noWrap w:val="0"/>
            <w:vAlign w:val="center"/>
          </w:tcPr>
          <w:p w14:paraId="6D45D73F">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p>
        </w:tc>
      </w:tr>
      <w:tr w14:paraId="7318B0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4ED53261">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bookmarkStart w:id="72" w:name="_Toc254970736"/>
            <w:bookmarkStart w:id="73" w:name="_Toc254970595"/>
            <w:bookmarkStart w:id="74" w:name="_Toc173211907"/>
            <w:bookmarkStart w:id="75" w:name="_Toc173066408"/>
            <w:r>
              <w:rPr>
                <w:rFonts w:hint="eastAsia" w:ascii="宋体" w:hAnsi="宋体" w:eastAsia="宋体" w:cs="宋体"/>
                <w:color w:val="auto"/>
                <w:highlight w:val="none"/>
              </w:rPr>
              <w:t>3</w:t>
            </w:r>
            <w:bookmarkEnd w:id="72"/>
            <w:bookmarkEnd w:id="73"/>
            <w:bookmarkEnd w:id="74"/>
            <w:bookmarkEnd w:id="75"/>
          </w:p>
        </w:tc>
        <w:tc>
          <w:tcPr>
            <w:tcW w:w="3013" w:type="dxa"/>
            <w:noWrap w:val="0"/>
            <w:vAlign w:val="center"/>
          </w:tcPr>
          <w:p w14:paraId="799FD451">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szCs w:val="21"/>
                <w:highlight w:val="none"/>
              </w:rPr>
            </w:pPr>
          </w:p>
        </w:tc>
        <w:tc>
          <w:tcPr>
            <w:tcW w:w="3159" w:type="dxa"/>
            <w:noWrap w:val="0"/>
            <w:vAlign w:val="top"/>
          </w:tcPr>
          <w:p w14:paraId="687B7D5A">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highlight w:val="none"/>
              </w:rPr>
            </w:pPr>
          </w:p>
        </w:tc>
        <w:tc>
          <w:tcPr>
            <w:tcW w:w="1571" w:type="dxa"/>
            <w:noWrap w:val="0"/>
            <w:vAlign w:val="center"/>
          </w:tcPr>
          <w:p w14:paraId="005CDC4B">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p>
        </w:tc>
        <w:tc>
          <w:tcPr>
            <w:tcW w:w="1460" w:type="dxa"/>
            <w:noWrap w:val="0"/>
            <w:vAlign w:val="center"/>
          </w:tcPr>
          <w:p w14:paraId="575D857A">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p>
        </w:tc>
      </w:tr>
      <w:tr w14:paraId="2F6F730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407839E4">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3013" w:type="dxa"/>
            <w:noWrap w:val="0"/>
            <w:vAlign w:val="center"/>
          </w:tcPr>
          <w:p w14:paraId="7EABBF46">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szCs w:val="21"/>
                <w:highlight w:val="none"/>
              </w:rPr>
            </w:pPr>
          </w:p>
        </w:tc>
        <w:tc>
          <w:tcPr>
            <w:tcW w:w="3159" w:type="dxa"/>
            <w:noWrap w:val="0"/>
            <w:vAlign w:val="top"/>
          </w:tcPr>
          <w:p w14:paraId="22DEAB1A">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highlight w:val="none"/>
              </w:rPr>
            </w:pPr>
          </w:p>
        </w:tc>
        <w:tc>
          <w:tcPr>
            <w:tcW w:w="1571" w:type="dxa"/>
            <w:noWrap w:val="0"/>
            <w:vAlign w:val="center"/>
          </w:tcPr>
          <w:p w14:paraId="6093519E">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p>
        </w:tc>
        <w:tc>
          <w:tcPr>
            <w:tcW w:w="1460" w:type="dxa"/>
            <w:noWrap w:val="0"/>
            <w:vAlign w:val="center"/>
          </w:tcPr>
          <w:p w14:paraId="611C2B2D">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p>
        </w:tc>
      </w:tr>
      <w:tr w14:paraId="4908218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57B5EA20">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3013" w:type="dxa"/>
            <w:noWrap w:val="0"/>
            <w:vAlign w:val="center"/>
          </w:tcPr>
          <w:p w14:paraId="76B3E159">
            <w:pPr>
              <w:keepNext w:val="0"/>
              <w:keepLines w:val="0"/>
              <w:pageBreakBefore w:val="0"/>
              <w:widowControl w:val="0"/>
              <w:tabs>
                <w:tab w:val="left" w:pos="180"/>
                <w:tab w:val="left" w:pos="1620"/>
              </w:tabs>
              <w:kinsoku/>
              <w:wordWrap/>
              <w:overflowPunct/>
              <w:topLinePunct w:val="0"/>
              <w:autoSpaceDE/>
              <w:autoSpaceDN/>
              <w:bidi w:val="0"/>
              <w:spacing w:line="500" w:lineRule="exact"/>
              <w:jc w:val="center"/>
              <w:textAlignment w:val="auto"/>
              <w:rPr>
                <w:rFonts w:hint="eastAsia" w:ascii="宋体" w:hAnsi="宋体" w:eastAsia="宋体" w:cs="宋体"/>
                <w:color w:val="auto"/>
                <w:szCs w:val="21"/>
                <w:highlight w:val="none"/>
              </w:rPr>
            </w:pPr>
          </w:p>
        </w:tc>
        <w:tc>
          <w:tcPr>
            <w:tcW w:w="3159" w:type="dxa"/>
            <w:noWrap w:val="0"/>
            <w:vAlign w:val="top"/>
          </w:tcPr>
          <w:p w14:paraId="682AB459">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highlight w:val="none"/>
              </w:rPr>
            </w:pPr>
          </w:p>
        </w:tc>
        <w:tc>
          <w:tcPr>
            <w:tcW w:w="1571" w:type="dxa"/>
            <w:noWrap w:val="0"/>
            <w:vAlign w:val="center"/>
          </w:tcPr>
          <w:p w14:paraId="5F9681F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p>
        </w:tc>
        <w:tc>
          <w:tcPr>
            <w:tcW w:w="1460" w:type="dxa"/>
            <w:noWrap w:val="0"/>
            <w:vAlign w:val="center"/>
          </w:tcPr>
          <w:p w14:paraId="61EEE4BC">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p>
        </w:tc>
      </w:tr>
      <w:tr w14:paraId="6B5642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41890729">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tc>
        <w:tc>
          <w:tcPr>
            <w:tcW w:w="3013" w:type="dxa"/>
            <w:noWrap w:val="0"/>
            <w:vAlign w:val="center"/>
          </w:tcPr>
          <w:p w14:paraId="4CCD5578">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p>
        </w:tc>
        <w:tc>
          <w:tcPr>
            <w:tcW w:w="3159" w:type="dxa"/>
            <w:noWrap w:val="0"/>
            <w:vAlign w:val="top"/>
          </w:tcPr>
          <w:p w14:paraId="6BA1AE67">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highlight w:val="none"/>
              </w:rPr>
            </w:pPr>
          </w:p>
        </w:tc>
        <w:tc>
          <w:tcPr>
            <w:tcW w:w="1571" w:type="dxa"/>
            <w:noWrap w:val="0"/>
            <w:vAlign w:val="center"/>
          </w:tcPr>
          <w:p w14:paraId="09D0DBAF">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p>
        </w:tc>
        <w:tc>
          <w:tcPr>
            <w:tcW w:w="1460" w:type="dxa"/>
            <w:noWrap w:val="0"/>
            <w:vAlign w:val="center"/>
          </w:tcPr>
          <w:p w14:paraId="6495AAE3">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p>
        </w:tc>
      </w:tr>
      <w:tr w14:paraId="286419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noWrap w:val="0"/>
            <w:vAlign w:val="center"/>
          </w:tcPr>
          <w:p w14:paraId="2E436C3F">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bookmarkStart w:id="76" w:name="_Toc476258667"/>
            <w:r>
              <w:rPr>
                <w:rFonts w:hint="eastAsia" w:ascii="宋体" w:hAnsi="宋体" w:eastAsia="宋体" w:cs="宋体"/>
                <w:color w:val="auto"/>
                <w:highlight w:val="none"/>
              </w:rPr>
              <w:t>服务（技术）部分</w:t>
            </w:r>
            <w:bookmarkEnd w:id="76"/>
          </w:p>
        </w:tc>
      </w:tr>
      <w:tr w14:paraId="64B905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78F54CF4">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bookmarkStart w:id="77" w:name="_Toc476258668"/>
            <w:r>
              <w:rPr>
                <w:rFonts w:hint="eastAsia" w:ascii="宋体" w:hAnsi="宋体" w:eastAsia="宋体" w:cs="宋体"/>
                <w:color w:val="auto"/>
                <w:highlight w:val="none"/>
              </w:rPr>
              <w:t>1</w:t>
            </w:r>
            <w:bookmarkEnd w:id="77"/>
          </w:p>
        </w:tc>
        <w:tc>
          <w:tcPr>
            <w:tcW w:w="3013" w:type="dxa"/>
            <w:noWrap w:val="0"/>
            <w:vAlign w:val="center"/>
          </w:tcPr>
          <w:p w14:paraId="20E3FA17">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highlight w:val="none"/>
              </w:rPr>
            </w:pPr>
          </w:p>
        </w:tc>
        <w:tc>
          <w:tcPr>
            <w:tcW w:w="3159" w:type="dxa"/>
            <w:noWrap w:val="0"/>
            <w:vAlign w:val="center"/>
          </w:tcPr>
          <w:p w14:paraId="6475BAB0">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highlight w:val="none"/>
              </w:rPr>
            </w:pPr>
          </w:p>
        </w:tc>
        <w:tc>
          <w:tcPr>
            <w:tcW w:w="1571" w:type="dxa"/>
            <w:noWrap w:val="0"/>
            <w:vAlign w:val="center"/>
          </w:tcPr>
          <w:p w14:paraId="1CEBB06A">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highlight w:val="none"/>
              </w:rPr>
            </w:pPr>
          </w:p>
        </w:tc>
        <w:tc>
          <w:tcPr>
            <w:tcW w:w="1460" w:type="dxa"/>
            <w:noWrap w:val="0"/>
            <w:vAlign w:val="center"/>
          </w:tcPr>
          <w:p w14:paraId="541701B6">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highlight w:val="none"/>
              </w:rPr>
            </w:pPr>
          </w:p>
        </w:tc>
      </w:tr>
      <w:tr w14:paraId="50BF6A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5DBA1510">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bookmarkStart w:id="78" w:name="_Toc476258669"/>
            <w:r>
              <w:rPr>
                <w:rFonts w:hint="eastAsia" w:ascii="宋体" w:hAnsi="宋体" w:eastAsia="宋体" w:cs="宋体"/>
                <w:color w:val="auto"/>
                <w:highlight w:val="none"/>
              </w:rPr>
              <w:t>2</w:t>
            </w:r>
            <w:bookmarkEnd w:id="78"/>
          </w:p>
        </w:tc>
        <w:tc>
          <w:tcPr>
            <w:tcW w:w="3013" w:type="dxa"/>
            <w:noWrap w:val="0"/>
            <w:vAlign w:val="center"/>
          </w:tcPr>
          <w:p w14:paraId="793291E4">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highlight w:val="none"/>
              </w:rPr>
            </w:pPr>
          </w:p>
        </w:tc>
        <w:tc>
          <w:tcPr>
            <w:tcW w:w="3159" w:type="dxa"/>
            <w:noWrap w:val="0"/>
            <w:vAlign w:val="center"/>
          </w:tcPr>
          <w:p w14:paraId="5851B6F7">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highlight w:val="none"/>
              </w:rPr>
            </w:pPr>
          </w:p>
        </w:tc>
        <w:tc>
          <w:tcPr>
            <w:tcW w:w="1571" w:type="dxa"/>
            <w:noWrap w:val="0"/>
            <w:vAlign w:val="center"/>
          </w:tcPr>
          <w:p w14:paraId="16250EDC">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highlight w:val="none"/>
              </w:rPr>
            </w:pPr>
          </w:p>
        </w:tc>
        <w:tc>
          <w:tcPr>
            <w:tcW w:w="1460" w:type="dxa"/>
            <w:noWrap w:val="0"/>
            <w:vAlign w:val="center"/>
          </w:tcPr>
          <w:p w14:paraId="2A088773">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highlight w:val="none"/>
              </w:rPr>
            </w:pPr>
          </w:p>
        </w:tc>
      </w:tr>
      <w:tr w14:paraId="56CA8B1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noWrap w:val="0"/>
            <w:vAlign w:val="center"/>
          </w:tcPr>
          <w:p w14:paraId="0318BA94">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bookmarkStart w:id="79" w:name="_Toc476258670"/>
            <w:r>
              <w:rPr>
                <w:rFonts w:hint="eastAsia" w:ascii="宋体" w:hAnsi="宋体" w:eastAsia="宋体" w:cs="宋体"/>
                <w:color w:val="auto"/>
                <w:highlight w:val="none"/>
              </w:rPr>
              <w:t>3</w:t>
            </w:r>
            <w:bookmarkEnd w:id="79"/>
          </w:p>
        </w:tc>
        <w:tc>
          <w:tcPr>
            <w:tcW w:w="3013" w:type="dxa"/>
            <w:noWrap w:val="0"/>
            <w:vAlign w:val="center"/>
          </w:tcPr>
          <w:p w14:paraId="5E21305D">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highlight w:val="none"/>
              </w:rPr>
            </w:pPr>
          </w:p>
        </w:tc>
        <w:tc>
          <w:tcPr>
            <w:tcW w:w="3159" w:type="dxa"/>
            <w:noWrap w:val="0"/>
            <w:vAlign w:val="center"/>
          </w:tcPr>
          <w:p w14:paraId="178DAD0F">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highlight w:val="none"/>
              </w:rPr>
            </w:pPr>
          </w:p>
        </w:tc>
        <w:tc>
          <w:tcPr>
            <w:tcW w:w="1571" w:type="dxa"/>
            <w:noWrap w:val="0"/>
            <w:vAlign w:val="center"/>
          </w:tcPr>
          <w:p w14:paraId="6C7D1099">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highlight w:val="none"/>
              </w:rPr>
            </w:pPr>
          </w:p>
        </w:tc>
        <w:tc>
          <w:tcPr>
            <w:tcW w:w="1460" w:type="dxa"/>
            <w:noWrap w:val="0"/>
            <w:vAlign w:val="center"/>
          </w:tcPr>
          <w:p w14:paraId="54D7FB50">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highlight w:val="none"/>
              </w:rPr>
            </w:pPr>
          </w:p>
        </w:tc>
      </w:tr>
      <w:tr w14:paraId="6588678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noWrap w:val="0"/>
            <w:vAlign w:val="center"/>
          </w:tcPr>
          <w:p w14:paraId="21EFA2CA">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cs="宋体"/>
                <w:color w:val="auto"/>
                <w:highlight w:val="none"/>
              </w:rPr>
            </w:pPr>
            <w:bookmarkStart w:id="80" w:name="_Toc476258671"/>
            <w:r>
              <w:rPr>
                <w:rFonts w:hint="eastAsia" w:ascii="宋体" w:hAnsi="宋体" w:eastAsia="宋体" w:cs="宋体"/>
                <w:color w:val="auto"/>
                <w:highlight w:val="none"/>
              </w:rPr>
              <w:t>…</w:t>
            </w:r>
            <w:bookmarkEnd w:id="80"/>
          </w:p>
        </w:tc>
        <w:tc>
          <w:tcPr>
            <w:tcW w:w="3013" w:type="dxa"/>
            <w:noWrap w:val="0"/>
            <w:vAlign w:val="center"/>
          </w:tcPr>
          <w:p w14:paraId="57475946">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highlight w:val="none"/>
              </w:rPr>
            </w:pPr>
          </w:p>
        </w:tc>
        <w:tc>
          <w:tcPr>
            <w:tcW w:w="3159" w:type="dxa"/>
            <w:noWrap w:val="0"/>
            <w:vAlign w:val="center"/>
          </w:tcPr>
          <w:p w14:paraId="721C4770">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highlight w:val="none"/>
              </w:rPr>
            </w:pPr>
          </w:p>
        </w:tc>
        <w:tc>
          <w:tcPr>
            <w:tcW w:w="1571" w:type="dxa"/>
            <w:tcBorders>
              <w:right w:val="single" w:color="auto" w:sz="4" w:space="0"/>
            </w:tcBorders>
            <w:noWrap w:val="0"/>
            <w:vAlign w:val="center"/>
          </w:tcPr>
          <w:p w14:paraId="73E2386C">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highlight w:val="none"/>
              </w:rPr>
            </w:pPr>
          </w:p>
        </w:tc>
        <w:tc>
          <w:tcPr>
            <w:tcW w:w="1460" w:type="dxa"/>
            <w:tcBorders>
              <w:left w:val="single" w:color="auto" w:sz="4" w:space="0"/>
            </w:tcBorders>
            <w:noWrap w:val="0"/>
            <w:vAlign w:val="center"/>
          </w:tcPr>
          <w:p w14:paraId="1F179D97">
            <w:pPr>
              <w:keepNext w:val="0"/>
              <w:keepLines w:val="0"/>
              <w:pageBreakBefore w:val="0"/>
              <w:widowControl w:val="0"/>
              <w:kinsoku/>
              <w:wordWrap/>
              <w:overflowPunct/>
              <w:topLinePunct w:val="0"/>
              <w:autoSpaceDE/>
              <w:autoSpaceDN/>
              <w:bidi w:val="0"/>
              <w:spacing w:line="500" w:lineRule="exact"/>
              <w:textAlignment w:val="auto"/>
              <w:rPr>
                <w:rFonts w:hint="eastAsia" w:ascii="宋体" w:hAnsi="宋体" w:eastAsia="宋体" w:cs="宋体"/>
                <w:color w:val="auto"/>
                <w:highlight w:val="none"/>
              </w:rPr>
            </w:pPr>
          </w:p>
        </w:tc>
      </w:tr>
    </w:tbl>
    <w:p w14:paraId="110AC440">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b/>
          <w:color w:val="auto"/>
          <w:szCs w:val="21"/>
          <w:highlight w:val="none"/>
        </w:rPr>
      </w:pPr>
    </w:p>
    <w:p w14:paraId="78B47AD3">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说明：</w:t>
      </w:r>
      <w:r>
        <w:rPr>
          <w:rFonts w:hint="eastAsia" w:ascii="宋体" w:hAnsi="宋体" w:eastAsia="宋体" w:cs="宋体"/>
          <w:b/>
          <w:color w:val="auto"/>
          <w:highlight w:val="none"/>
        </w:rPr>
        <w:t>1、应写明竞</w:t>
      </w:r>
      <w:r>
        <w:rPr>
          <w:rFonts w:hint="eastAsia" w:ascii="宋体" w:hAnsi="宋体" w:eastAsia="宋体" w:cs="宋体"/>
          <w:b/>
          <w:color w:val="auto"/>
          <w:szCs w:val="21"/>
          <w:highlight w:val="none"/>
        </w:rPr>
        <w:t>争性磋商响应文件对</w:t>
      </w:r>
      <w:r>
        <w:rPr>
          <w:rFonts w:hint="eastAsia" w:ascii="宋体" w:hAnsi="宋体" w:eastAsia="宋体" w:cs="宋体"/>
          <w:b/>
          <w:color w:val="auto"/>
          <w:highlight w:val="none"/>
        </w:rPr>
        <w:t>商务与技术要求的</w:t>
      </w:r>
      <w:r>
        <w:rPr>
          <w:rFonts w:hint="eastAsia" w:ascii="宋体" w:hAnsi="宋体" w:eastAsia="宋体" w:cs="宋体"/>
          <w:b/>
          <w:color w:val="auto"/>
          <w:szCs w:val="21"/>
          <w:highlight w:val="none"/>
        </w:rPr>
        <w:t>响应和偏离情况</w:t>
      </w:r>
      <w:r>
        <w:rPr>
          <w:rFonts w:hint="eastAsia" w:ascii="宋体" w:hAnsi="宋体" w:eastAsia="宋体" w:cs="宋体"/>
          <w:b/>
          <w:bCs/>
          <w:color w:val="auto"/>
          <w:szCs w:val="21"/>
          <w:highlight w:val="none"/>
        </w:rPr>
        <w:t>；</w:t>
      </w:r>
    </w:p>
    <w:p w14:paraId="5C44BD6A">
      <w:pPr>
        <w:pStyle w:val="5"/>
        <w:keepNext w:val="0"/>
        <w:keepLines w:val="0"/>
        <w:pageBreakBefore w:val="0"/>
        <w:widowControl w:val="0"/>
        <w:kinsoku/>
        <w:wordWrap/>
        <w:overflowPunct/>
        <w:topLinePunct w:val="0"/>
        <w:autoSpaceDE/>
        <w:autoSpaceDN/>
        <w:bidi w:val="0"/>
        <w:spacing w:line="500" w:lineRule="exact"/>
        <w:ind w:firstLine="632" w:firstLineChars="300"/>
        <w:textAlignment w:val="auto"/>
        <w:rPr>
          <w:rFonts w:hint="eastAsia" w:ascii="宋体" w:hAnsi="宋体" w:eastAsia="宋体" w:cs="宋体"/>
          <w:color w:val="auto"/>
          <w:highlight w:val="none"/>
        </w:rPr>
      </w:pPr>
      <w:r>
        <w:rPr>
          <w:rFonts w:hint="eastAsia" w:ascii="宋体" w:hAnsi="宋体" w:eastAsia="宋体" w:cs="宋体"/>
          <w:b/>
          <w:color w:val="auto"/>
          <w:sz w:val="21"/>
          <w:szCs w:val="21"/>
          <w:highlight w:val="none"/>
        </w:rPr>
        <w:t>2、应对照竞争性磋商文件“第三章 采购项目技术规格、参数及要求”，逐条说明所提供货物和服务已对竞争性磋商文件的商务、技术做出了实质性的响应，并申明商务、技术条文的响应和偏离。</w:t>
      </w:r>
    </w:p>
    <w:p w14:paraId="317DDFD1">
      <w:pPr>
        <w:pStyle w:val="8"/>
        <w:keepNext w:val="0"/>
        <w:keepLines w:val="0"/>
        <w:pageBreakBefore w:val="0"/>
        <w:widowControl w:val="0"/>
        <w:kinsoku/>
        <w:wordWrap/>
        <w:overflowPunct/>
        <w:topLinePunct w:val="0"/>
        <w:autoSpaceDE/>
        <w:autoSpaceDN/>
        <w:bidi w:val="0"/>
        <w:spacing w:line="500" w:lineRule="exact"/>
        <w:ind w:firstLine="1470" w:firstLineChars="7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                       法定代表人或委托代理人签字:</w:t>
      </w:r>
      <w:r>
        <w:rPr>
          <w:rFonts w:hint="eastAsia" w:ascii="宋体" w:hAnsi="宋体" w:eastAsia="宋体" w:cs="宋体"/>
          <w:color w:val="auto"/>
          <w:highlight w:val="none"/>
          <w:u w:val="single"/>
        </w:rPr>
        <w:t xml:space="preserve">                </w:t>
      </w:r>
    </w:p>
    <w:p w14:paraId="3688045E">
      <w:pPr>
        <w:pStyle w:val="8"/>
        <w:keepNext w:val="0"/>
        <w:keepLines w:val="0"/>
        <w:pageBreakBefore w:val="0"/>
        <w:widowControl w:val="0"/>
        <w:kinsoku/>
        <w:wordWrap/>
        <w:overflowPunct/>
        <w:topLinePunct w:val="0"/>
        <w:autoSpaceDE/>
        <w:autoSpaceDN/>
        <w:bidi w:val="0"/>
        <w:spacing w:line="500" w:lineRule="exact"/>
        <w:ind w:firstLine="4935" w:firstLineChars="2350"/>
        <w:textAlignment w:val="auto"/>
        <w:rPr>
          <w:rFonts w:hint="eastAsia" w:ascii="宋体" w:hAnsi="宋体" w:eastAsia="宋体" w:cs="宋体"/>
          <w:color w:val="auto"/>
          <w:highlight w:val="none"/>
          <w:u w:val="singl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14:paraId="7FA79D6D">
      <w:pPr>
        <w:spacing w:line="360" w:lineRule="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br w:type="page"/>
      </w:r>
      <w:r>
        <w:rPr>
          <w:rFonts w:hint="eastAsia" w:ascii="宋体" w:hAnsi="宋体" w:eastAsia="宋体" w:cs="宋体"/>
          <w:b/>
          <w:color w:val="auto"/>
          <w:szCs w:val="21"/>
          <w:highlight w:val="none"/>
        </w:rPr>
        <w:t>附件四</w:t>
      </w:r>
    </w:p>
    <w:p w14:paraId="5FD3DA83">
      <w:pPr>
        <w:keepNext w:val="0"/>
        <w:keepLines w:val="0"/>
        <w:pageBreakBefore w:val="0"/>
        <w:widowControl w:val="0"/>
        <w:kinsoku/>
        <w:wordWrap/>
        <w:overflowPunct/>
        <w:topLinePunct w:val="0"/>
        <w:bidi w:val="0"/>
        <w:adjustRightInd w:val="0"/>
        <w:snapToGrid w:val="0"/>
        <w:spacing w:line="500" w:lineRule="exact"/>
        <w:jc w:val="center"/>
        <w:textAlignment w:val="auto"/>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法定代表人授权委托书</w:t>
      </w:r>
    </w:p>
    <w:p w14:paraId="770F5FFB">
      <w:pPr>
        <w:keepNext w:val="0"/>
        <w:keepLines w:val="0"/>
        <w:pageBreakBefore w:val="0"/>
        <w:widowControl w:val="0"/>
        <w:kinsoku/>
        <w:wordWrap/>
        <w:overflowPunct/>
        <w:topLinePunct w:val="0"/>
        <w:bidi w:val="0"/>
        <w:adjustRightInd w:val="0"/>
        <w:snapToGrid w:val="0"/>
        <w:spacing w:line="500" w:lineRule="exact"/>
        <w:textAlignment w:val="auto"/>
        <w:rPr>
          <w:rFonts w:hint="eastAsia" w:ascii="宋体" w:hAnsi="宋体" w:eastAsia="宋体" w:cs="宋体"/>
          <w:color w:val="auto"/>
          <w:szCs w:val="21"/>
          <w:highlight w:val="none"/>
        </w:rPr>
      </w:pPr>
    </w:p>
    <w:p w14:paraId="0588C217">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single"/>
        </w:rPr>
        <w:t>广西国建项目管理有限公司</w:t>
      </w:r>
      <w:r>
        <w:rPr>
          <w:rFonts w:hint="eastAsia" w:ascii="宋体" w:hAnsi="宋体" w:eastAsia="宋体" w:cs="宋体"/>
          <w:color w:val="auto"/>
          <w:szCs w:val="21"/>
          <w:highlight w:val="none"/>
        </w:rPr>
        <w:t>：</w:t>
      </w:r>
    </w:p>
    <w:p w14:paraId="06303003">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兹授权</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同志为我公司参加贵单位组织的</w:t>
      </w:r>
      <w:r>
        <w:rPr>
          <w:rFonts w:hint="eastAsia" w:ascii="宋体" w:hAnsi="宋体" w:eastAsia="宋体" w:cs="宋体"/>
          <w:color w:val="auto"/>
          <w:szCs w:val="21"/>
          <w:highlight w:val="none"/>
          <w:u w:val="single"/>
        </w:rPr>
        <w:t>（采购项目名称、采购项目编号）竞争性磋商</w:t>
      </w:r>
      <w:r>
        <w:rPr>
          <w:rFonts w:hint="eastAsia" w:ascii="宋体" w:hAnsi="宋体" w:eastAsia="宋体" w:cs="宋体"/>
          <w:color w:val="auto"/>
          <w:szCs w:val="21"/>
          <w:highlight w:val="none"/>
        </w:rPr>
        <w:t>采购活动的委托代理人，全权代表我公司处理在该项目活动中的一切事宜。代理期限从</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日起至</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日止。 </w:t>
      </w:r>
    </w:p>
    <w:p w14:paraId="10A1632C">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Cs w:val="21"/>
          <w:highlight w:val="none"/>
        </w:rPr>
      </w:pPr>
    </w:p>
    <w:p w14:paraId="101F3420">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磋商供应商（盖章）：</w:t>
      </w:r>
      <w:r>
        <w:rPr>
          <w:rFonts w:hint="eastAsia" w:ascii="宋体" w:hAnsi="宋体" w:eastAsia="宋体" w:cs="宋体"/>
          <w:color w:val="auto"/>
          <w:szCs w:val="21"/>
          <w:highlight w:val="none"/>
          <w:u w:val="single"/>
        </w:rPr>
        <w:t xml:space="preserve">                   </w:t>
      </w:r>
    </w:p>
    <w:p w14:paraId="534C271C">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法定代表人（签字或盖章）：</w:t>
      </w:r>
      <w:r>
        <w:rPr>
          <w:rFonts w:hint="eastAsia" w:ascii="宋体" w:hAnsi="宋体" w:eastAsia="宋体" w:cs="宋体"/>
          <w:color w:val="auto"/>
          <w:szCs w:val="21"/>
          <w:highlight w:val="none"/>
          <w:u w:val="single"/>
        </w:rPr>
        <w:t xml:space="preserve">             </w:t>
      </w:r>
    </w:p>
    <w:p w14:paraId="383C2147">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签发日期：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4A0FC625">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Cs w:val="21"/>
          <w:highlight w:val="none"/>
        </w:rPr>
      </w:pPr>
    </w:p>
    <w:p w14:paraId="32B59525">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附：委托代理人工作单位：</w:t>
      </w:r>
      <w:r>
        <w:rPr>
          <w:rFonts w:hint="eastAsia" w:ascii="宋体" w:hAnsi="宋体" w:eastAsia="宋体" w:cs="宋体"/>
          <w:color w:val="auto"/>
          <w:szCs w:val="21"/>
          <w:highlight w:val="none"/>
          <w:u w:val="single"/>
        </w:rPr>
        <w:t xml:space="preserve">                      </w:t>
      </w:r>
    </w:p>
    <w:p w14:paraId="1090BD16">
      <w:pPr>
        <w:keepNext w:val="0"/>
        <w:keepLines w:val="0"/>
        <w:pageBreakBefore w:val="0"/>
        <w:widowControl w:val="0"/>
        <w:kinsoku/>
        <w:wordWrap/>
        <w:overflowPunct/>
        <w:topLinePunct w:val="0"/>
        <w:bidi w:val="0"/>
        <w:spacing w:line="5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性别：</w:t>
      </w:r>
      <w:r>
        <w:rPr>
          <w:rFonts w:hint="eastAsia" w:ascii="宋体" w:hAnsi="宋体" w:eastAsia="宋体" w:cs="宋体"/>
          <w:color w:val="auto"/>
          <w:szCs w:val="21"/>
          <w:highlight w:val="none"/>
          <w:u w:val="single"/>
        </w:rPr>
        <w:t xml:space="preserve">    </w:t>
      </w:r>
    </w:p>
    <w:p w14:paraId="16262A93">
      <w:pPr>
        <w:keepNext w:val="0"/>
        <w:keepLines w:val="0"/>
        <w:pageBreakBefore w:val="0"/>
        <w:widowControl w:val="0"/>
        <w:kinsoku/>
        <w:wordWrap/>
        <w:overflowPunct/>
        <w:topLinePunct w:val="0"/>
        <w:bidi w:val="0"/>
        <w:adjustRightInd w:val="0"/>
        <w:snapToGrid w:val="0"/>
        <w:spacing w:line="500" w:lineRule="exact"/>
        <w:ind w:firstLine="420" w:firstLineChars="200"/>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身份证号码：</w:t>
      </w:r>
      <w:r>
        <w:rPr>
          <w:rFonts w:hint="eastAsia" w:ascii="宋体" w:hAnsi="宋体" w:eastAsia="宋体" w:cs="宋体"/>
          <w:color w:val="auto"/>
          <w:szCs w:val="21"/>
          <w:highlight w:val="none"/>
          <w:u w:val="single"/>
        </w:rPr>
        <w:t xml:space="preserve">                              </w:t>
      </w:r>
    </w:p>
    <w:p w14:paraId="0EB8D3C6">
      <w:pPr>
        <w:keepNext w:val="0"/>
        <w:keepLines w:val="0"/>
        <w:pageBreakBefore w:val="0"/>
        <w:widowControl w:val="0"/>
        <w:kinsoku/>
        <w:wordWrap/>
        <w:overflowPunct/>
        <w:topLinePunct w:val="0"/>
        <w:bidi w:val="0"/>
        <w:adjustRightInd w:val="0"/>
        <w:snapToGrid w:val="0"/>
        <w:spacing w:line="500" w:lineRule="exact"/>
        <w:ind w:firstLine="420" w:firstLineChars="200"/>
        <w:textAlignment w:val="auto"/>
        <w:rPr>
          <w:rFonts w:hint="eastAsia" w:ascii="宋体" w:hAnsi="宋体" w:eastAsia="宋体" w:cs="宋体"/>
          <w:color w:val="auto"/>
          <w:szCs w:val="21"/>
          <w:highlight w:val="none"/>
          <w:u w:val="single"/>
        </w:rPr>
      </w:pPr>
    </w:p>
    <w:tbl>
      <w:tblPr>
        <w:tblStyle w:val="13"/>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1"/>
      </w:tblGrid>
      <w:tr w14:paraId="42A88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861" w:type="dxa"/>
            <w:noWrap w:val="0"/>
            <w:vAlign w:val="top"/>
          </w:tcPr>
          <w:p w14:paraId="29A22284">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粘贴委托代理人的有效身份证正面及反面复印件</w:t>
            </w:r>
          </w:p>
        </w:tc>
      </w:tr>
    </w:tbl>
    <w:p w14:paraId="70484660">
      <w:pPr>
        <w:keepNext w:val="0"/>
        <w:keepLines w:val="0"/>
        <w:pageBreakBefore w:val="0"/>
        <w:widowControl w:val="0"/>
        <w:kinsoku/>
        <w:wordWrap/>
        <w:overflowPunct/>
        <w:topLinePunct w:val="0"/>
        <w:autoSpaceDE w:val="0"/>
        <w:autoSpaceDN w:val="0"/>
        <w:bidi w:val="0"/>
        <w:spacing w:line="500" w:lineRule="exact"/>
        <w:ind w:left="480" w:hanging="480"/>
        <w:textAlignment w:val="auto"/>
        <w:rPr>
          <w:rFonts w:hint="eastAsia" w:ascii="宋体" w:hAnsi="宋体" w:eastAsia="宋体" w:cs="宋体"/>
          <w:color w:val="auto"/>
          <w:szCs w:val="21"/>
          <w:highlight w:val="none"/>
        </w:rPr>
      </w:pPr>
    </w:p>
    <w:p w14:paraId="367AFADF">
      <w:pPr>
        <w:keepNext w:val="0"/>
        <w:keepLines w:val="0"/>
        <w:pageBreakBefore w:val="0"/>
        <w:widowControl w:val="0"/>
        <w:kinsoku/>
        <w:wordWrap/>
        <w:overflowPunct/>
        <w:topLinePunct w:val="0"/>
        <w:bidi w:val="0"/>
        <w:spacing w:line="500" w:lineRule="exact"/>
        <w:textAlignment w:val="auto"/>
        <w:rPr>
          <w:rFonts w:hint="eastAsia" w:ascii="宋体" w:hAnsi="宋体" w:eastAsia="宋体" w:cs="宋体"/>
          <w:color w:val="auto"/>
          <w:sz w:val="32"/>
          <w:szCs w:val="32"/>
          <w:highlight w:val="none"/>
        </w:rPr>
      </w:pPr>
    </w:p>
    <w:p w14:paraId="17D943CF">
      <w:pPr>
        <w:snapToGrid w:val="0"/>
        <w:spacing w:before="156" w:beforeLines="50" w:after="50" w:line="360" w:lineRule="auto"/>
        <w:jc w:val="center"/>
        <w:rPr>
          <w:rFonts w:hint="eastAsia" w:ascii="宋体" w:hAnsi="宋体" w:eastAsia="宋体" w:cs="宋体"/>
          <w:b/>
          <w:color w:val="auto"/>
          <w:kern w:val="0"/>
          <w:sz w:val="32"/>
          <w:szCs w:val="32"/>
          <w:highlight w:val="none"/>
        </w:rPr>
      </w:pPr>
    </w:p>
    <w:p w14:paraId="515CB0D9">
      <w:pPr>
        <w:spacing w:line="360" w:lineRule="auto"/>
        <w:ind w:left="420" w:hanging="420"/>
        <w:jc w:val="center"/>
        <w:rPr>
          <w:rFonts w:hint="eastAsia" w:ascii="宋体" w:hAnsi="宋体" w:eastAsia="宋体" w:cs="宋体"/>
          <w:b/>
          <w:color w:val="auto"/>
          <w:kern w:val="0"/>
          <w:sz w:val="32"/>
          <w:szCs w:val="32"/>
          <w:highlight w:val="none"/>
          <w:lang w:eastAsia="zh-CN"/>
        </w:rPr>
      </w:pPr>
      <w:r>
        <w:rPr>
          <w:rFonts w:hint="eastAsia" w:ascii="宋体" w:hAnsi="宋体" w:eastAsia="宋体" w:cs="宋体"/>
          <w:b/>
          <w:color w:val="auto"/>
          <w:kern w:val="0"/>
          <w:sz w:val="32"/>
          <w:szCs w:val="32"/>
          <w:highlight w:val="none"/>
        </w:rPr>
        <w:br w:type="page"/>
      </w:r>
    </w:p>
    <w:p w14:paraId="5F1C8731">
      <w:pPr>
        <w:spacing w:line="360" w:lineRule="auto"/>
        <w:ind w:left="420" w:hanging="420"/>
        <w:jc w:val="center"/>
        <w:rPr>
          <w:rFonts w:hint="eastAsia" w:ascii="宋体" w:hAnsi="宋体" w:eastAsia="宋体" w:cs="宋体"/>
          <w:b/>
          <w:color w:val="auto"/>
          <w:kern w:val="0"/>
          <w:sz w:val="32"/>
          <w:szCs w:val="32"/>
          <w:highlight w:val="none"/>
        </w:rPr>
      </w:pPr>
    </w:p>
    <w:p w14:paraId="6BD6685A">
      <w:pPr>
        <w:spacing w:line="360" w:lineRule="auto"/>
        <w:ind w:left="420" w:hanging="420"/>
        <w:jc w:val="center"/>
        <w:rPr>
          <w:rFonts w:hint="eastAsia" w:ascii="宋体" w:hAnsi="宋体" w:eastAsia="宋体" w:cs="宋体"/>
          <w:b/>
          <w:color w:val="auto"/>
          <w:kern w:val="0"/>
          <w:sz w:val="32"/>
          <w:szCs w:val="32"/>
          <w:highlight w:val="none"/>
        </w:rPr>
      </w:pPr>
    </w:p>
    <w:p w14:paraId="0C42E4F2">
      <w:pPr>
        <w:spacing w:line="360" w:lineRule="auto"/>
        <w:ind w:left="420" w:hanging="420"/>
        <w:jc w:val="center"/>
        <w:rPr>
          <w:rFonts w:hint="eastAsia" w:ascii="宋体" w:hAnsi="宋体" w:eastAsia="宋体" w:cs="宋体"/>
          <w:b/>
          <w:color w:val="auto"/>
          <w:kern w:val="0"/>
          <w:sz w:val="32"/>
          <w:szCs w:val="32"/>
          <w:highlight w:val="none"/>
        </w:rPr>
      </w:pPr>
    </w:p>
    <w:p w14:paraId="3906B8F8">
      <w:pPr>
        <w:spacing w:line="360" w:lineRule="auto"/>
        <w:ind w:left="420" w:hanging="420"/>
        <w:jc w:val="center"/>
        <w:rPr>
          <w:rFonts w:hint="eastAsia" w:ascii="宋体" w:hAnsi="宋体" w:eastAsia="宋体" w:cs="宋体"/>
          <w:b/>
          <w:color w:val="auto"/>
          <w:kern w:val="0"/>
          <w:sz w:val="32"/>
          <w:szCs w:val="32"/>
          <w:highlight w:val="none"/>
        </w:rPr>
      </w:pPr>
    </w:p>
    <w:p w14:paraId="078F4C26">
      <w:pPr>
        <w:spacing w:line="360" w:lineRule="auto"/>
        <w:rPr>
          <w:rFonts w:hint="eastAsia" w:ascii="宋体" w:hAnsi="宋体" w:eastAsia="宋体" w:cs="宋体"/>
          <w:b/>
          <w:color w:val="auto"/>
          <w:kern w:val="0"/>
          <w:sz w:val="32"/>
          <w:szCs w:val="32"/>
          <w:highlight w:val="none"/>
        </w:rPr>
      </w:pPr>
    </w:p>
    <w:p w14:paraId="0F15A706">
      <w:pPr>
        <w:pStyle w:val="12"/>
        <w:spacing w:line="360" w:lineRule="auto"/>
        <w:rPr>
          <w:rFonts w:hint="eastAsia" w:ascii="宋体" w:hAnsi="宋体" w:eastAsia="宋体" w:cs="宋体"/>
          <w:color w:val="auto"/>
          <w:kern w:val="0"/>
          <w:sz w:val="44"/>
          <w:szCs w:val="44"/>
          <w:highlight w:val="none"/>
        </w:rPr>
      </w:pPr>
      <w:bookmarkStart w:id="81" w:name="_Toc14210"/>
      <w:bookmarkStart w:id="82" w:name="_Toc476258672"/>
      <w:r>
        <w:rPr>
          <w:rFonts w:hint="eastAsia" w:ascii="宋体" w:hAnsi="宋体" w:eastAsia="宋体" w:cs="宋体"/>
          <w:color w:val="auto"/>
          <w:kern w:val="0"/>
          <w:sz w:val="44"/>
          <w:szCs w:val="44"/>
          <w:highlight w:val="none"/>
        </w:rPr>
        <w:t>第五章  合同主要条款</w:t>
      </w:r>
      <w:bookmarkEnd w:id="81"/>
      <w:bookmarkEnd w:id="82"/>
    </w:p>
    <w:p w14:paraId="13100161">
      <w:pPr>
        <w:spacing w:line="360" w:lineRule="auto"/>
        <w:ind w:left="420" w:hanging="420"/>
        <w:jc w:val="center"/>
        <w:rPr>
          <w:rFonts w:hint="eastAsia" w:ascii="宋体" w:hAnsi="宋体" w:eastAsia="宋体" w:cs="宋体"/>
          <w:b/>
          <w:color w:val="auto"/>
          <w:kern w:val="0"/>
          <w:sz w:val="32"/>
          <w:szCs w:val="32"/>
          <w:highlight w:val="none"/>
        </w:rPr>
      </w:pPr>
    </w:p>
    <w:p w14:paraId="0A40B483">
      <w:pPr>
        <w:spacing w:line="360" w:lineRule="auto"/>
        <w:ind w:left="420" w:hanging="420"/>
        <w:jc w:val="center"/>
        <w:rPr>
          <w:rFonts w:hint="eastAsia" w:ascii="宋体" w:hAnsi="宋体" w:eastAsia="宋体" w:cs="宋体"/>
          <w:b w:val="0"/>
          <w:bCs/>
          <w:color w:val="auto"/>
          <w:kern w:val="0"/>
          <w:sz w:val="24"/>
          <w:szCs w:val="24"/>
          <w:highlight w:val="none"/>
        </w:rPr>
      </w:pPr>
    </w:p>
    <w:p w14:paraId="06AC5618">
      <w:pPr>
        <w:spacing w:line="360" w:lineRule="auto"/>
        <w:ind w:left="420" w:hanging="420"/>
        <w:jc w:val="center"/>
        <w:rPr>
          <w:rFonts w:hint="eastAsia" w:ascii="宋体" w:hAnsi="宋体" w:eastAsia="宋体" w:cs="宋体"/>
          <w:b/>
          <w:color w:val="auto"/>
          <w:kern w:val="0"/>
          <w:sz w:val="32"/>
          <w:szCs w:val="32"/>
          <w:highlight w:val="none"/>
        </w:rPr>
      </w:pPr>
    </w:p>
    <w:p w14:paraId="309C761D">
      <w:pPr>
        <w:spacing w:line="360" w:lineRule="auto"/>
        <w:ind w:left="420" w:hanging="420"/>
        <w:jc w:val="center"/>
        <w:rPr>
          <w:rFonts w:hint="eastAsia" w:ascii="宋体" w:hAnsi="宋体" w:eastAsia="宋体" w:cs="宋体"/>
          <w:b/>
          <w:color w:val="auto"/>
          <w:kern w:val="0"/>
          <w:sz w:val="32"/>
          <w:szCs w:val="32"/>
          <w:highlight w:val="none"/>
        </w:rPr>
      </w:pPr>
    </w:p>
    <w:p w14:paraId="1FD00051">
      <w:pPr>
        <w:spacing w:line="360" w:lineRule="auto"/>
        <w:ind w:left="420" w:hanging="420"/>
        <w:jc w:val="center"/>
        <w:rPr>
          <w:rFonts w:hint="eastAsia" w:ascii="宋体" w:hAnsi="宋体" w:eastAsia="宋体" w:cs="宋体"/>
          <w:b/>
          <w:color w:val="auto"/>
          <w:kern w:val="0"/>
          <w:sz w:val="32"/>
          <w:szCs w:val="32"/>
          <w:highlight w:val="none"/>
        </w:rPr>
      </w:pPr>
    </w:p>
    <w:p w14:paraId="5C76EA59">
      <w:pPr>
        <w:pStyle w:val="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360" w:lineRule="auto"/>
        <w:ind w:right="480"/>
        <w:jc w:val="both"/>
        <w:rPr>
          <w:rFonts w:hint="eastAsia" w:ascii="宋体" w:hAnsi="宋体" w:eastAsia="宋体" w:cs="宋体"/>
          <w:color w:val="auto"/>
          <w:spacing w:val="20"/>
          <w:sz w:val="24"/>
          <w:szCs w:val="24"/>
          <w:highlight w:val="none"/>
        </w:rPr>
      </w:pPr>
      <w:r>
        <w:rPr>
          <w:rFonts w:hint="eastAsia" w:ascii="宋体" w:hAnsi="宋体" w:eastAsia="宋体" w:cs="宋体"/>
          <w:color w:val="auto"/>
          <w:spacing w:val="20"/>
          <w:sz w:val="24"/>
          <w:szCs w:val="24"/>
          <w:highlight w:val="none"/>
        </w:rPr>
        <w:br w:type="page"/>
      </w:r>
    </w:p>
    <w:p w14:paraId="43515616">
      <w:pPr>
        <w:spacing w:line="440" w:lineRule="exact"/>
        <w:ind w:firstLine="3360" w:firstLineChars="1400"/>
        <w:rPr>
          <w:rFonts w:ascii="仿宋_GB2312"/>
          <w:sz w:val="24"/>
          <w:szCs w:val="24"/>
          <w:highlight w:val="none"/>
        </w:rPr>
      </w:pPr>
    </w:p>
    <w:p w14:paraId="36C07746">
      <w:pPr>
        <w:pStyle w:val="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ind w:right="480" w:firstLine="482" w:firstLineChars="200"/>
        <w:jc w:val="center"/>
        <w:rPr>
          <w:rFonts w:ascii="仿宋_GB2312" w:hAnsi="宋体" w:eastAsia="仿宋_GB2312"/>
          <w:spacing w:val="20"/>
          <w:sz w:val="24"/>
          <w:szCs w:val="24"/>
          <w:highlight w:val="none"/>
        </w:rPr>
      </w:pPr>
      <w:r>
        <w:rPr>
          <w:rFonts w:hint="eastAsia" w:ascii="仿宋_GB2312" w:hAnsi="宋体" w:eastAsia="仿宋_GB2312"/>
          <w:b/>
          <w:bCs/>
          <w:spacing w:val="0"/>
          <w:sz w:val="24"/>
          <w:szCs w:val="24"/>
          <w:highlight w:val="none"/>
        </w:rPr>
        <w:t xml:space="preserve">                               </w:t>
      </w:r>
    </w:p>
    <w:p w14:paraId="63E5C82E">
      <w:pPr>
        <w:pStyle w:val="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ind w:right="480" w:firstLine="6023" w:firstLineChars="2500"/>
        <w:rPr>
          <w:rFonts w:ascii="仿宋_GB2312" w:hAnsi="Times New Roman" w:eastAsia="仿宋_GB2312"/>
          <w:sz w:val="24"/>
          <w:szCs w:val="24"/>
          <w:highlight w:val="none"/>
        </w:rPr>
      </w:pPr>
      <w:r>
        <w:rPr>
          <w:rFonts w:hint="eastAsia" w:ascii="仿宋_GB2312" w:hAnsi="宋体" w:eastAsia="仿宋_GB2312"/>
          <w:b/>
          <w:bCs/>
          <w:spacing w:val="0"/>
          <w:sz w:val="24"/>
          <w:szCs w:val="24"/>
          <w:highlight w:val="none"/>
        </w:rPr>
        <w:t>合同编号：</w:t>
      </w:r>
    </w:p>
    <w:p w14:paraId="478E4719">
      <w:pPr>
        <w:pStyle w:val="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rPr>
          <w:rFonts w:ascii="仿宋_GB2312" w:hAnsi="Times New Roman" w:eastAsia="仿宋_GB2312"/>
          <w:b/>
          <w:bCs/>
          <w:i/>
          <w:iCs/>
          <w:sz w:val="24"/>
          <w:szCs w:val="24"/>
          <w:highlight w:val="none"/>
          <w:shd w:val="pct10" w:color="auto" w:fill="FFFFFF"/>
        </w:rPr>
      </w:pPr>
    </w:p>
    <w:p w14:paraId="19987926">
      <w:pPr>
        <w:pStyle w:val="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before="870" w:beforeLines="200" w:after="0" w:line="440" w:lineRule="exact"/>
        <w:jc w:val="center"/>
        <w:rPr>
          <w:rFonts w:ascii="宋体" w:hAnsi="宋体"/>
          <w:b/>
          <w:bCs/>
          <w:w w:val="90"/>
          <w:sz w:val="72"/>
          <w:szCs w:val="72"/>
          <w:highlight w:val="none"/>
        </w:rPr>
      </w:pPr>
      <w:bookmarkStart w:id="83" w:name="OLE_LINK2"/>
      <w:bookmarkStart w:id="84" w:name="OLE_LINK1"/>
      <w:r>
        <w:rPr>
          <w:rFonts w:hint="eastAsia" w:ascii="宋体" w:hAnsi="宋体"/>
          <w:b/>
          <w:bCs/>
          <w:w w:val="90"/>
          <w:sz w:val="72"/>
          <w:szCs w:val="72"/>
          <w:highlight w:val="none"/>
        </w:rPr>
        <w:t>资信评级合同书（202</w:t>
      </w:r>
      <w:r>
        <w:rPr>
          <w:rFonts w:ascii="宋体" w:hAnsi="宋体"/>
          <w:b/>
          <w:bCs/>
          <w:w w:val="90"/>
          <w:sz w:val="72"/>
          <w:szCs w:val="72"/>
          <w:highlight w:val="none"/>
        </w:rPr>
        <w:t>5</w:t>
      </w:r>
      <w:r>
        <w:rPr>
          <w:rFonts w:hint="eastAsia" w:ascii="宋体" w:hAnsi="宋体"/>
          <w:b/>
          <w:bCs/>
          <w:w w:val="90"/>
          <w:sz w:val="72"/>
          <w:szCs w:val="72"/>
          <w:highlight w:val="none"/>
        </w:rPr>
        <w:t>版）</w:t>
      </w:r>
    </w:p>
    <w:p w14:paraId="284D6777">
      <w:pPr>
        <w:pStyle w:val="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before="870" w:beforeLines="200" w:after="0" w:line="440" w:lineRule="exact"/>
        <w:jc w:val="center"/>
        <w:rPr>
          <w:rFonts w:ascii="仿宋_GB2312" w:hAnsi="Times New Roman" w:eastAsia="仿宋_GB2312"/>
          <w:b/>
          <w:bCs/>
          <w:i/>
          <w:iCs/>
          <w:w w:val="90"/>
          <w:sz w:val="24"/>
          <w:szCs w:val="24"/>
          <w:highlight w:val="none"/>
        </w:rPr>
      </w:pPr>
      <w:r>
        <w:rPr>
          <w:rFonts w:hint="eastAsia" w:ascii="宋体" w:hAnsi="宋体"/>
          <w:b/>
          <w:bCs/>
          <w:w w:val="90"/>
          <w:sz w:val="72"/>
          <w:szCs w:val="72"/>
          <w:highlight w:val="none"/>
        </w:rPr>
        <w:t>（主体）</w:t>
      </w:r>
    </w:p>
    <w:bookmarkEnd w:id="83"/>
    <w:bookmarkEnd w:id="84"/>
    <w:p w14:paraId="160801DB">
      <w:pPr>
        <w:pStyle w:val="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rPr>
          <w:rFonts w:ascii="仿宋_GB2312" w:hAnsi="Times New Roman" w:eastAsia="仿宋_GB2312"/>
          <w:b/>
          <w:bCs/>
          <w:spacing w:val="0"/>
          <w:sz w:val="24"/>
          <w:szCs w:val="24"/>
          <w:highlight w:val="none"/>
        </w:rPr>
      </w:pPr>
    </w:p>
    <w:p w14:paraId="042174D7">
      <w:pPr>
        <w:pStyle w:val="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ind w:firstLine="1316" w:firstLineChars="546"/>
        <w:rPr>
          <w:rFonts w:ascii="仿宋_GB2312" w:hAnsi="Times New Roman" w:eastAsia="仿宋_GB2312"/>
          <w:b/>
          <w:bCs/>
          <w:spacing w:val="0"/>
          <w:sz w:val="24"/>
          <w:szCs w:val="24"/>
          <w:highlight w:val="none"/>
        </w:rPr>
      </w:pPr>
    </w:p>
    <w:p w14:paraId="18451ECA">
      <w:pPr>
        <w:pStyle w:val="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ind w:firstLine="2650" w:firstLineChars="1100"/>
        <w:rPr>
          <w:rFonts w:ascii="仿宋_GB2312" w:hAnsi="Times New Roman" w:eastAsia="仿宋_GB2312"/>
          <w:b/>
          <w:bCs/>
          <w:i/>
          <w:iCs/>
          <w:spacing w:val="0"/>
          <w:sz w:val="24"/>
          <w:szCs w:val="24"/>
          <w:highlight w:val="none"/>
        </w:rPr>
      </w:pPr>
      <w:bookmarkStart w:id="85" w:name="tip_risk_bookmark_1"/>
      <w:r>
        <w:rPr>
          <w:rFonts w:hint="eastAsia" w:ascii="仿宋_GB2312" w:hAnsi="Times New Roman" w:eastAsia="仿宋_GB2312"/>
          <w:b/>
          <w:bCs/>
          <w:spacing w:val="0"/>
          <w:sz w:val="24"/>
          <w:szCs w:val="24"/>
          <w:highlight w:val="none"/>
        </w:rPr>
        <w:t>委托项目名称：</w:t>
      </w:r>
      <w:r>
        <w:rPr>
          <w:rFonts w:hint="eastAsia" w:ascii="仿宋_GB2312" w:hAnsi="Times New Roman" w:eastAsia="仿宋_GB2312"/>
          <w:b/>
          <w:bCs/>
          <w:spacing w:val="0"/>
          <w:sz w:val="24"/>
          <w:szCs w:val="24"/>
          <w:highlight w:val="none"/>
          <w:u w:val="single"/>
        </w:rPr>
        <w:t xml:space="preserve">              </w:t>
      </w:r>
      <w:r>
        <w:rPr>
          <w:rFonts w:ascii="仿宋_GB2312" w:hAnsi="Times New Roman" w:eastAsia="仿宋_GB2312"/>
          <w:b/>
          <w:bCs/>
          <w:spacing w:val="0"/>
          <w:sz w:val="24"/>
          <w:szCs w:val="24"/>
          <w:highlight w:val="none"/>
          <w:u w:val="single"/>
        </w:rPr>
        <w:t xml:space="preserve">   </w:t>
      </w:r>
      <w:r>
        <w:rPr>
          <w:rFonts w:hint="eastAsia" w:ascii="仿宋_GB2312" w:hAnsi="Times New Roman" w:eastAsia="仿宋_GB2312"/>
          <w:b/>
          <w:bCs/>
          <w:spacing w:val="0"/>
          <w:sz w:val="24"/>
          <w:szCs w:val="24"/>
          <w:highlight w:val="none"/>
          <w:u w:val="single"/>
        </w:rPr>
        <w:t xml:space="preserve">     </w:t>
      </w:r>
      <w:r>
        <w:rPr>
          <w:rFonts w:hint="eastAsia" w:ascii="仿宋_GB2312" w:hAnsi="Times New Roman" w:eastAsia="仿宋_GB2312"/>
          <w:b/>
          <w:bCs/>
          <w:i/>
          <w:iCs/>
          <w:spacing w:val="0"/>
          <w:sz w:val="24"/>
          <w:szCs w:val="24"/>
          <w:highlight w:val="none"/>
        </w:rPr>
        <w:t xml:space="preserve"> </w:t>
      </w:r>
    </w:p>
    <w:p w14:paraId="1F7662EC">
      <w:pPr>
        <w:pStyle w:val="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ind w:firstLine="2650" w:firstLineChars="1100"/>
        <w:rPr>
          <w:rFonts w:ascii="仿宋_GB2312" w:hAnsi="宋体" w:eastAsia="仿宋_GB2312"/>
          <w:b/>
          <w:bCs/>
          <w:i/>
          <w:iCs/>
          <w:spacing w:val="-20"/>
          <w:sz w:val="24"/>
          <w:szCs w:val="24"/>
          <w:highlight w:val="none"/>
          <w:u w:val="single"/>
        </w:rPr>
      </w:pPr>
      <w:r>
        <w:rPr>
          <w:rFonts w:hint="eastAsia" w:ascii="仿宋_GB2312" w:hAnsi="Times New Roman" w:eastAsia="仿宋_GB2312"/>
          <w:b/>
          <w:bCs/>
          <w:spacing w:val="0"/>
          <w:sz w:val="24"/>
          <w:szCs w:val="24"/>
          <w:highlight w:val="none"/>
        </w:rPr>
        <w:t>委托方（甲方）：</w:t>
      </w:r>
      <w:bookmarkEnd w:id="85"/>
      <w:r>
        <w:rPr>
          <w:rFonts w:hint="eastAsia" w:ascii="仿宋_GB2312" w:hAnsi="Times New Roman" w:eastAsia="仿宋_GB2312"/>
          <w:b/>
          <w:bCs/>
          <w:spacing w:val="0"/>
          <w:sz w:val="24"/>
          <w:szCs w:val="24"/>
          <w:highlight w:val="none"/>
          <w:u w:val="single"/>
        </w:rPr>
        <w:t xml:space="preserve">         </w:t>
      </w:r>
      <w:r>
        <w:rPr>
          <w:rFonts w:hint="eastAsia" w:ascii="仿宋_GB2312" w:hAnsi="Times New Roman" w:eastAsia="仿宋_GB2312"/>
          <w:b/>
          <w:bCs/>
          <w:spacing w:val="0"/>
          <w:sz w:val="24"/>
          <w:szCs w:val="24"/>
          <w:highlight w:val="none"/>
        </w:rPr>
        <w:t xml:space="preserve">    </w:t>
      </w:r>
    </w:p>
    <w:p w14:paraId="1E55DACF">
      <w:pPr>
        <w:pStyle w:val="4"/>
        <w:tabs>
          <w:tab w:val="left" w:pos="420"/>
          <w:tab w:val="left" w:pos="960"/>
          <w:tab w:val="left" w:pos="168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ind w:firstLine="723" w:firstLineChars="300"/>
        <w:rPr>
          <w:rFonts w:ascii="仿宋_GB2312" w:hAnsi="Times New Roman" w:eastAsia="仿宋_GB2312"/>
          <w:b/>
          <w:bCs/>
          <w:spacing w:val="0"/>
          <w:sz w:val="24"/>
          <w:szCs w:val="24"/>
          <w:highlight w:val="none"/>
        </w:rPr>
      </w:pPr>
      <w:r>
        <w:rPr>
          <w:rFonts w:hint="eastAsia" w:ascii="仿宋_GB2312" w:hAnsi="Times New Roman" w:eastAsia="仿宋_GB2312"/>
          <w:b/>
          <w:bCs/>
          <w:spacing w:val="0"/>
          <w:sz w:val="24"/>
          <w:szCs w:val="24"/>
          <w:highlight w:val="none"/>
        </w:rPr>
        <w:tab/>
      </w:r>
      <w:r>
        <w:rPr>
          <w:rFonts w:ascii="仿宋_GB2312" w:hAnsi="Times New Roman" w:eastAsia="仿宋_GB2312"/>
          <w:b/>
          <w:bCs/>
          <w:spacing w:val="0"/>
          <w:sz w:val="24"/>
          <w:szCs w:val="24"/>
          <w:highlight w:val="none"/>
        </w:rPr>
        <w:t xml:space="preserve">              </w:t>
      </w:r>
      <w:r>
        <w:rPr>
          <w:rFonts w:hint="eastAsia" w:ascii="仿宋_GB2312" w:hAnsi="Times New Roman" w:eastAsia="仿宋_GB2312"/>
          <w:b/>
          <w:bCs/>
          <w:spacing w:val="0"/>
          <w:sz w:val="24"/>
          <w:szCs w:val="24"/>
          <w:highlight w:val="none"/>
        </w:rPr>
        <w:t>受托方（乙方）：</w:t>
      </w:r>
      <w:r>
        <w:rPr>
          <w:rFonts w:hint="eastAsia" w:ascii="仿宋_GB2312" w:hAnsi="Times New Roman" w:eastAsia="仿宋_GB2312"/>
          <w:b/>
          <w:bCs/>
          <w:spacing w:val="0"/>
          <w:sz w:val="24"/>
          <w:szCs w:val="24"/>
          <w:highlight w:val="none"/>
          <w:u w:val="single"/>
        </w:rPr>
        <w:t xml:space="preserve">       </w:t>
      </w:r>
      <w:r>
        <w:rPr>
          <w:rFonts w:hint="eastAsia" w:ascii="仿宋_GB2312" w:hAnsi="Times New Roman" w:eastAsia="仿宋_GB2312"/>
          <w:b/>
          <w:bCs/>
          <w:spacing w:val="0"/>
          <w:sz w:val="24"/>
          <w:szCs w:val="24"/>
          <w:highlight w:val="none"/>
        </w:rPr>
        <w:t xml:space="preserve">          </w:t>
      </w:r>
    </w:p>
    <w:p w14:paraId="485385BB">
      <w:pPr>
        <w:pStyle w:val="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ind w:firstLine="1316" w:firstLineChars="546"/>
        <w:rPr>
          <w:rFonts w:ascii="仿宋_GB2312" w:hAnsi="Times New Roman" w:eastAsia="仿宋_GB2312"/>
          <w:b/>
          <w:bCs/>
          <w:spacing w:val="0"/>
          <w:sz w:val="24"/>
          <w:szCs w:val="24"/>
          <w:highlight w:val="none"/>
        </w:rPr>
      </w:pPr>
    </w:p>
    <w:p w14:paraId="4DCEDCE4">
      <w:pPr>
        <w:pStyle w:val="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ind w:firstLine="1310" w:firstLineChars="546"/>
        <w:rPr>
          <w:rFonts w:ascii="仿宋_GB2312" w:eastAsia="仿宋_GB2312"/>
          <w:sz w:val="24"/>
          <w:szCs w:val="24"/>
          <w:highlight w:val="none"/>
        </w:rPr>
      </w:pPr>
    </w:p>
    <w:p w14:paraId="3C8B3044">
      <w:pPr>
        <w:pStyle w:val="4"/>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ind w:firstLine="1310" w:firstLineChars="546"/>
        <w:rPr>
          <w:rFonts w:ascii="仿宋_GB2312" w:eastAsia="仿宋_GB2312"/>
          <w:sz w:val="24"/>
          <w:szCs w:val="24"/>
          <w:highlight w:val="none"/>
        </w:rPr>
      </w:pPr>
    </w:p>
    <w:p w14:paraId="66CE65E5">
      <w:pPr>
        <w:pStyle w:val="4"/>
        <w:tabs>
          <w:tab w:val="left" w:pos="420"/>
          <w:tab w:val="left" w:pos="2581"/>
          <w:tab w:val="left" w:pos="2641"/>
          <w:tab w:val="left" w:pos="2701"/>
          <w:tab w:val="left" w:pos="2761"/>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rPr>
          <w:rFonts w:ascii="仿宋_GB2312" w:hAnsi="黑体" w:eastAsia="仿宋_GB2312"/>
          <w:b/>
          <w:bCs/>
          <w:sz w:val="24"/>
          <w:szCs w:val="24"/>
          <w:highlight w:val="none"/>
          <w:u w:val="single"/>
        </w:rPr>
      </w:pPr>
      <w:r>
        <w:rPr>
          <w:rFonts w:hint="eastAsia" w:ascii="仿宋_GB2312" w:hAnsi="Times New Roman" w:eastAsia="仿宋_GB2312"/>
          <w:b/>
          <w:bCs/>
          <w:spacing w:val="0"/>
          <w:sz w:val="24"/>
          <w:szCs w:val="24"/>
          <w:highlight w:val="none"/>
        </w:rPr>
        <w:tab/>
      </w:r>
      <w:r>
        <w:rPr>
          <w:rFonts w:hint="eastAsia" w:ascii="仿宋_GB2312" w:hAnsi="Times New Roman" w:eastAsia="仿宋_GB2312"/>
          <w:b/>
          <w:bCs/>
          <w:spacing w:val="0"/>
          <w:sz w:val="24"/>
          <w:szCs w:val="24"/>
          <w:highlight w:val="none"/>
        </w:rPr>
        <w:tab/>
      </w:r>
      <w:r>
        <w:rPr>
          <w:rFonts w:hint="eastAsia" w:ascii="仿宋_GB2312" w:hAnsi="黑体" w:eastAsia="仿宋_GB2312"/>
          <w:b/>
          <w:bCs/>
          <w:spacing w:val="0"/>
          <w:sz w:val="24"/>
          <w:szCs w:val="24"/>
          <w:highlight w:val="none"/>
        </w:rPr>
        <w:t xml:space="preserve">签订地点： </w:t>
      </w:r>
      <w:r>
        <w:rPr>
          <w:rFonts w:hint="eastAsia" w:ascii="仿宋_GB2312" w:hAnsi="黑体" w:eastAsia="仿宋_GB2312"/>
          <w:b/>
          <w:bCs/>
          <w:spacing w:val="0"/>
          <w:sz w:val="24"/>
          <w:szCs w:val="24"/>
          <w:highlight w:val="none"/>
          <w:u w:val="single"/>
        </w:rPr>
        <w:t xml:space="preserve">                 </w:t>
      </w:r>
    </w:p>
    <w:p w14:paraId="734F15E4">
      <w:pPr>
        <w:pStyle w:val="4"/>
        <w:tabs>
          <w:tab w:val="left" w:pos="420"/>
          <w:tab w:val="left" w:pos="2581"/>
          <w:tab w:val="left" w:pos="2641"/>
          <w:tab w:val="left" w:pos="2701"/>
          <w:tab w:val="left" w:pos="2761"/>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rPr>
          <w:highlight w:val="none"/>
        </w:rPr>
        <w:sectPr>
          <w:footerReference r:id="rId3" w:type="default"/>
          <w:footerReference r:id="rId4" w:type="even"/>
          <w:pgSz w:w="11906" w:h="16838"/>
          <w:pgMar w:top="1287" w:right="1440" w:bottom="1287" w:left="1440" w:header="851" w:footer="992" w:gutter="0"/>
          <w:pgNumType w:fmt="decimal" w:start="1"/>
          <w:cols w:space="720" w:num="1"/>
          <w:docGrid w:type="lines" w:linePitch="435" w:charSpace="0"/>
        </w:sectPr>
      </w:pPr>
      <w:r>
        <w:rPr>
          <w:rFonts w:hint="eastAsia" w:ascii="仿宋_GB2312" w:hAnsi="Times New Roman" w:eastAsia="仿宋_GB2312"/>
          <w:b/>
          <w:bCs/>
          <w:spacing w:val="0"/>
          <w:sz w:val="24"/>
          <w:szCs w:val="24"/>
          <w:highlight w:val="none"/>
        </w:rPr>
        <w:tab/>
      </w:r>
      <w:r>
        <w:rPr>
          <w:rFonts w:hint="eastAsia" w:ascii="仿宋_GB2312" w:hAnsi="Times New Roman" w:eastAsia="仿宋_GB2312"/>
          <w:b/>
          <w:bCs/>
          <w:spacing w:val="0"/>
          <w:sz w:val="24"/>
          <w:szCs w:val="24"/>
          <w:highlight w:val="none"/>
        </w:rPr>
        <w:tab/>
      </w:r>
    </w:p>
    <w:p w14:paraId="5358DAA3">
      <w:pPr>
        <w:adjustRightInd w:val="0"/>
        <w:spacing w:line="440" w:lineRule="exact"/>
        <w:textAlignment w:val="baseline"/>
        <w:rPr>
          <w:rFonts w:ascii="仿宋_GB2312" w:hAnsi="仿宋_GB2312" w:cs="仿宋_GB2312"/>
          <w:bCs/>
          <w:color w:val="000000"/>
          <w:sz w:val="24"/>
          <w:szCs w:val="24"/>
          <w:highlight w:val="none"/>
        </w:rPr>
      </w:pPr>
    </w:p>
    <w:p w14:paraId="4B3059D8">
      <w:pPr>
        <w:adjustRightInd w:val="0"/>
        <w:spacing w:line="440" w:lineRule="exact"/>
        <w:ind w:firstLine="480" w:firstLineChars="200"/>
        <w:textAlignment w:val="baseline"/>
        <w:rPr>
          <w:rFonts w:ascii="仿宋_GB2312" w:hAnsi="仿宋_GB2312" w:cs="仿宋_GB2312"/>
          <w:bCs/>
          <w:color w:val="000000"/>
          <w:sz w:val="24"/>
          <w:szCs w:val="24"/>
          <w:highlight w:val="none"/>
        </w:rPr>
      </w:pPr>
      <w:r>
        <w:rPr>
          <w:rFonts w:hint="eastAsia" w:ascii="仿宋_GB2312" w:hAnsi="仿宋_GB2312" w:cs="仿宋_GB2312"/>
          <w:bCs/>
          <w:color w:val="000000"/>
          <w:sz w:val="24"/>
          <w:szCs w:val="24"/>
          <w:highlight w:val="none"/>
        </w:rPr>
        <w:t>甲方：</w:t>
      </w:r>
    </w:p>
    <w:p w14:paraId="285F7714">
      <w:pPr>
        <w:adjustRightInd w:val="0"/>
        <w:spacing w:line="440" w:lineRule="exact"/>
        <w:ind w:firstLine="480" w:firstLineChars="200"/>
        <w:textAlignment w:val="baseline"/>
        <w:rPr>
          <w:rFonts w:ascii="仿宋_GB2312" w:hAnsi="仿宋_GB2312" w:cs="仿宋_GB2312"/>
          <w:bCs/>
          <w:color w:val="000000"/>
          <w:sz w:val="24"/>
          <w:szCs w:val="24"/>
          <w:highlight w:val="none"/>
          <w:u w:val="single"/>
        </w:rPr>
      </w:pPr>
      <w:r>
        <w:rPr>
          <w:rFonts w:hint="eastAsia" w:ascii="仿宋_GB2312" w:hAnsi="仿宋_GB2312" w:cs="仿宋_GB2312"/>
          <w:bCs/>
          <w:color w:val="000000"/>
          <w:sz w:val="24"/>
          <w:szCs w:val="24"/>
          <w:highlight w:val="none"/>
        </w:rPr>
        <w:t xml:space="preserve">统一社会信用代码：    </w:t>
      </w:r>
    </w:p>
    <w:p w14:paraId="5AB8C005">
      <w:pPr>
        <w:adjustRightInd w:val="0"/>
        <w:spacing w:line="440" w:lineRule="exact"/>
        <w:ind w:firstLine="480" w:firstLineChars="200"/>
        <w:textAlignment w:val="baseline"/>
        <w:rPr>
          <w:rFonts w:ascii="仿宋_GB2312" w:hAnsi="仿宋_GB2312" w:cs="仿宋_GB2312"/>
          <w:bCs/>
          <w:color w:val="000000"/>
          <w:sz w:val="24"/>
          <w:szCs w:val="24"/>
          <w:highlight w:val="none"/>
          <w:u w:val="single"/>
        </w:rPr>
      </w:pPr>
      <w:r>
        <w:rPr>
          <w:rFonts w:hint="eastAsia" w:ascii="仿宋_GB2312" w:hAnsi="仿宋_GB2312" w:cs="仿宋_GB2312"/>
          <w:bCs/>
          <w:color w:val="000000"/>
          <w:sz w:val="24"/>
          <w:szCs w:val="24"/>
          <w:highlight w:val="none"/>
        </w:rPr>
        <w:t>法定代表人：</w:t>
      </w:r>
    </w:p>
    <w:p w14:paraId="474D35BD">
      <w:pPr>
        <w:adjustRightInd w:val="0"/>
        <w:spacing w:line="440" w:lineRule="exact"/>
        <w:ind w:firstLine="480" w:firstLineChars="200"/>
        <w:textAlignment w:val="baseline"/>
        <w:rPr>
          <w:rFonts w:ascii="仿宋_GB2312" w:hAnsi="仿宋_GB2312" w:cs="仿宋_GB2312"/>
          <w:bCs/>
          <w:color w:val="000000"/>
          <w:sz w:val="24"/>
          <w:szCs w:val="24"/>
          <w:highlight w:val="none"/>
        </w:rPr>
      </w:pPr>
      <w:r>
        <w:rPr>
          <w:rFonts w:hint="eastAsia" w:ascii="仿宋_GB2312" w:hAnsi="仿宋_GB2312" w:cs="仿宋_GB2312"/>
          <w:bCs/>
          <w:color w:val="000000"/>
          <w:sz w:val="24"/>
          <w:szCs w:val="24"/>
          <w:highlight w:val="none"/>
        </w:rPr>
        <w:t>注册地址：</w:t>
      </w:r>
    </w:p>
    <w:p w14:paraId="5E55BB77">
      <w:pPr>
        <w:adjustRightInd w:val="0"/>
        <w:spacing w:line="440" w:lineRule="exact"/>
        <w:ind w:firstLine="480" w:firstLineChars="200"/>
        <w:textAlignment w:val="baseline"/>
        <w:rPr>
          <w:rFonts w:ascii="仿宋_GB2312" w:hAnsi="仿宋_GB2312" w:cs="仿宋_GB2312"/>
          <w:bCs/>
          <w:color w:val="000000"/>
          <w:sz w:val="24"/>
          <w:szCs w:val="24"/>
          <w:highlight w:val="none"/>
          <w:u w:val="single"/>
        </w:rPr>
      </w:pPr>
      <w:r>
        <w:rPr>
          <w:rFonts w:hint="eastAsia" w:ascii="仿宋_GB2312" w:hAnsi="仿宋_GB2312" w:cs="仿宋_GB2312"/>
          <w:bCs/>
          <w:color w:val="000000"/>
          <w:sz w:val="24"/>
          <w:szCs w:val="24"/>
          <w:highlight w:val="none"/>
        </w:rPr>
        <w:t xml:space="preserve">电话：    </w:t>
      </w:r>
    </w:p>
    <w:p w14:paraId="70A78FFB">
      <w:pPr>
        <w:adjustRightInd w:val="0"/>
        <w:spacing w:line="440" w:lineRule="exact"/>
        <w:textAlignment w:val="baseline"/>
        <w:rPr>
          <w:rFonts w:ascii="仿宋_GB2312" w:hAnsi="仿宋_GB2312" w:cs="仿宋_GB2312"/>
          <w:bCs/>
          <w:color w:val="000000"/>
          <w:sz w:val="24"/>
          <w:szCs w:val="24"/>
          <w:highlight w:val="none"/>
        </w:rPr>
      </w:pPr>
    </w:p>
    <w:p w14:paraId="1DE8CEA7">
      <w:pPr>
        <w:adjustRightInd w:val="0"/>
        <w:spacing w:line="440" w:lineRule="exact"/>
        <w:ind w:firstLine="480" w:firstLineChars="200"/>
        <w:textAlignment w:val="baseline"/>
        <w:rPr>
          <w:rFonts w:ascii="仿宋_GB2312" w:hAnsi="仿宋_GB2312" w:cs="仿宋_GB2312"/>
          <w:bCs/>
          <w:color w:val="000000"/>
          <w:sz w:val="24"/>
          <w:szCs w:val="24"/>
          <w:highlight w:val="none"/>
        </w:rPr>
      </w:pPr>
      <w:r>
        <w:rPr>
          <w:rFonts w:hint="eastAsia" w:ascii="仿宋_GB2312" w:hAnsi="仿宋_GB2312" w:cs="仿宋_GB2312"/>
          <w:bCs/>
          <w:color w:val="000000"/>
          <w:sz w:val="24"/>
          <w:szCs w:val="24"/>
          <w:highlight w:val="none"/>
        </w:rPr>
        <w:t>乙方：</w:t>
      </w:r>
    </w:p>
    <w:p w14:paraId="589D92D8">
      <w:pPr>
        <w:adjustRightInd w:val="0"/>
        <w:spacing w:line="440" w:lineRule="exact"/>
        <w:ind w:firstLine="480" w:firstLineChars="200"/>
        <w:textAlignment w:val="baseline"/>
        <w:rPr>
          <w:rFonts w:ascii="仿宋_GB2312" w:hAnsi="仿宋_GB2312" w:cs="仿宋_GB2312"/>
          <w:bCs/>
          <w:color w:val="000000"/>
          <w:sz w:val="24"/>
          <w:szCs w:val="24"/>
          <w:highlight w:val="none"/>
          <w:u w:val="single"/>
        </w:rPr>
      </w:pPr>
      <w:r>
        <w:rPr>
          <w:rFonts w:hint="eastAsia" w:ascii="仿宋_GB2312" w:hAnsi="仿宋_GB2312" w:cs="仿宋_GB2312"/>
          <w:bCs/>
          <w:color w:val="000000"/>
          <w:sz w:val="24"/>
          <w:szCs w:val="24"/>
          <w:highlight w:val="none"/>
        </w:rPr>
        <w:t xml:space="preserve">统一社会信用代码：                               </w:t>
      </w:r>
    </w:p>
    <w:p w14:paraId="7F96A15C">
      <w:pPr>
        <w:adjustRightInd w:val="0"/>
        <w:spacing w:line="440" w:lineRule="exact"/>
        <w:ind w:firstLine="480" w:firstLineChars="200"/>
        <w:textAlignment w:val="baseline"/>
        <w:rPr>
          <w:rFonts w:ascii="仿宋_GB2312" w:hAnsi="仿宋_GB2312" w:cs="仿宋_GB2312"/>
          <w:bCs/>
          <w:color w:val="000000"/>
          <w:sz w:val="24"/>
          <w:szCs w:val="24"/>
          <w:highlight w:val="none"/>
          <w:u w:val="single"/>
        </w:rPr>
      </w:pPr>
      <w:r>
        <w:rPr>
          <w:rFonts w:hint="eastAsia" w:ascii="仿宋_GB2312" w:hAnsi="仿宋_GB2312" w:cs="仿宋_GB2312"/>
          <w:bCs/>
          <w:color w:val="000000"/>
          <w:sz w:val="24"/>
          <w:szCs w:val="24"/>
          <w:highlight w:val="none"/>
        </w:rPr>
        <w:t xml:space="preserve">法定代表人：           </w:t>
      </w:r>
    </w:p>
    <w:p w14:paraId="56120CE2">
      <w:pPr>
        <w:adjustRightInd w:val="0"/>
        <w:spacing w:line="440" w:lineRule="exact"/>
        <w:ind w:firstLine="480" w:firstLineChars="200"/>
        <w:textAlignment w:val="baseline"/>
        <w:rPr>
          <w:rFonts w:ascii="仿宋_GB2312" w:hAnsi="仿宋_GB2312" w:cs="仿宋_GB2312"/>
          <w:bCs/>
          <w:color w:val="000000"/>
          <w:sz w:val="24"/>
          <w:szCs w:val="24"/>
          <w:highlight w:val="none"/>
        </w:rPr>
      </w:pPr>
      <w:r>
        <w:rPr>
          <w:rFonts w:hint="eastAsia" w:ascii="仿宋_GB2312" w:hAnsi="仿宋_GB2312" w:cs="仿宋_GB2312"/>
          <w:bCs/>
          <w:color w:val="000000"/>
          <w:sz w:val="24"/>
          <w:szCs w:val="24"/>
          <w:highlight w:val="none"/>
        </w:rPr>
        <w:t xml:space="preserve">注册地址：                                                                                </w:t>
      </w:r>
    </w:p>
    <w:p w14:paraId="32F32EAF">
      <w:pPr>
        <w:adjustRightInd w:val="0"/>
        <w:spacing w:line="440" w:lineRule="exact"/>
        <w:ind w:firstLine="480" w:firstLineChars="200"/>
        <w:textAlignment w:val="baseline"/>
        <w:rPr>
          <w:rFonts w:ascii="仿宋_GB2312" w:hAnsi="仿宋_GB2312" w:cs="仿宋_GB2312"/>
          <w:bCs/>
          <w:color w:val="000000"/>
          <w:sz w:val="24"/>
          <w:szCs w:val="24"/>
          <w:highlight w:val="none"/>
        </w:rPr>
      </w:pPr>
      <w:r>
        <w:rPr>
          <w:rFonts w:hint="eastAsia" w:ascii="仿宋_GB2312" w:hAnsi="仿宋_GB2312" w:cs="仿宋_GB2312"/>
          <w:bCs/>
          <w:color w:val="000000"/>
          <w:sz w:val="24"/>
          <w:szCs w:val="24"/>
          <w:highlight w:val="none"/>
        </w:rPr>
        <w:t xml:space="preserve">电话：                      </w:t>
      </w:r>
    </w:p>
    <w:p w14:paraId="191EBAD3">
      <w:pPr>
        <w:snapToGrid w:val="0"/>
        <w:spacing w:line="440" w:lineRule="exact"/>
        <w:ind w:firstLine="480" w:firstLineChars="200"/>
        <w:jc w:val="both"/>
        <w:rPr>
          <w:rFonts w:ascii="仿宋_GB2312" w:hAnsi="宋体"/>
          <w:sz w:val="24"/>
          <w:szCs w:val="24"/>
          <w:highlight w:val="none"/>
        </w:rPr>
      </w:pPr>
    </w:p>
    <w:p w14:paraId="1F0DB4B0">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甲乙双方根据《中华人民共和国民法典》等相关法律法规之规定，经友好协商，就甲方委托乙方进行资信评级事宜达成以下合同条款，以资共同遵守。</w:t>
      </w:r>
    </w:p>
    <w:p w14:paraId="717BF3B3">
      <w:pPr>
        <w:snapToGrid w:val="0"/>
        <w:spacing w:line="440" w:lineRule="exact"/>
        <w:ind w:firstLine="482" w:firstLineChars="200"/>
        <w:jc w:val="both"/>
        <w:rPr>
          <w:rFonts w:ascii="仿宋_GB2312" w:hAnsi="宋体"/>
          <w:sz w:val="24"/>
          <w:szCs w:val="24"/>
          <w:highlight w:val="none"/>
        </w:rPr>
      </w:pPr>
      <w:r>
        <w:rPr>
          <w:rFonts w:hint="eastAsia" w:ascii="仿宋_GB2312" w:hAnsi="宋体"/>
          <w:b/>
          <w:sz w:val="24"/>
          <w:szCs w:val="24"/>
          <w:highlight w:val="none"/>
        </w:rPr>
        <w:t>一、委托事项及评级报告用途</w:t>
      </w:r>
    </w:p>
    <w:p w14:paraId="4561DA05">
      <w:pPr>
        <w:spacing w:line="440" w:lineRule="exact"/>
        <w:ind w:firstLine="480" w:firstLineChars="200"/>
        <w:jc w:val="both"/>
        <w:rPr>
          <w:rFonts w:ascii="仿宋_GB2312" w:hAnsi="宋体"/>
          <w:sz w:val="24"/>
          <w:szCs w:val="24"/>
          <w:highlight w:val="none"/>
        </w:rPr>
      </w:pPr>
      <w:r>
        <w:rPr>
          <w:rFonts w:ascii="仿宋_GB2312" w:hAnsi="宋体"/>
          <w:sz w:val="24"/>
          <w:szCs w:val="24"/>
          <w:highlight w:val="none"/>
        </w:rPr>
        <w:t>1、</w:t>
      </w:r>
      <w:r>
        <w:rPr>
          <w:rFonts w:hint="eastAsia" w:ascii="仿宋_GB2312" w:hAnsi="宋体"/>
          <w:sz w:val="24"/>
          <w:szCs w:val="24"/>
          <w:highlight w:val="none"/>
        </w:rPr>
        <w:t>甲方委托乙方对其企业资信进行评级并出具主体评级报告。</w:t>
      </w:r>
    </w:p>
    <w:p w14:paraId="591F5B3C">
      <w:pPr>
        <w:spacing w:line="440" w:lineRule="exact"/>
        <w:ind w:firstLine="480" w:firstLineChars="200"/>
        <w:jc w:val="both"/>
        <w:rPr>
          <w:rFonts w:ascii="仿宋_GB2312" w:hAnsi="宋体"/>
          <w:sz w:val="24"/>
          <w:szCs w:val="24"/>
          <w:highlight w:val="none"/>
        </w:rPr>
      </w:pPr>
      <w:r>
        <w:rPr>
          <w:rFonts w:ascii="仿宋_GB2312" w:hAnsi="宋体"/>
          <w:sz w:val="24"/>
          <w:szCs w:val="24"/>
          <w:highlight w:val="none"/>
        </w:rPr>
        <w:t>2、</w:t>
      </w:r>
      <w:r>
        <w:rPr>
          <w:rFonts w:hint="eastAsia" w:ascii="仿宋_GB2312" w:hAnsi="宋体"/>
          <w:sz w:val="24"/>
          <w:szCs w:val="24"/>
          <w:highlight w:val="none"/>
        </w:rPr>
        <w:t>甲方引用乙方所出具的主体评级结果和主体评级报告发行任何债项的，应当经过乙方事先书面同意。未经乙方事先书面同意，甲方不得引用乙方所出具的主体评级结果和主体评级报告发行任何债项。</w:t>
      </w:r>
    </w:p>
    <w:p w14:paraId="2712B9E4">
      <w:pPr>
        <w:snapToGrid w:val="0"/>
        <w:spacing w:line="440" w:lineRule="exact"/>
        <w:ind w:firstLine="482" w:firstLineChars="200"/>
        <w:jc w:val="both"/>
        <w:rPr>
          <w:rFonts w:ascii="仿宋_GB2312" w:hAnsi="宋体"/>
          <w:b/>
          <w:sz w:val="24"/>
          <w:szCs w:val="24"/>
          <w:highlight w:val="none"/>
        </w:rPr>
      </w:pPr>
      <w:r>
        <w:rPr>
          <w:rFonts w:hint="eastAsia" w:ascii="仿宋_GB2312" w:hAnsi="宋体"/>
          <w:b/>
          <w:sz w:val="24"/>
          <w:szCs w:val="24"/>
          <w:highlight w:val="none"/>
        </w:rPr>
        <w:t>二、评级费用</w:t>
      </w:r>
    </w:p>
    <w:p w14:paraId="48079B2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ind w:firstLine="480" w:firstLineChars="200"/>
        <w:jc w:val="both"/>
        <w:rPr>
          <w:rFonts w:ascii="仿宋_GB2312" w:hAnsi="宋体"/>
          <w:bCs/>
          <w:sz w:val="24"/>
          <w:szCs w:val="24"/>
          <w:highlight w:val="none"/>
        </w:rPr>
      </w:pPr>
      <w:r>
        <w:rPr>
          <w:rFonts w:hint="eastAsia" w:ascii="仿宋_GB2312" w:hAnsi="宋体"/>
          <w:bCs/>
          <w:sz w:val="24"/>
          <w:szCs w:val="24"/>
          <w:highlight w:val="none"/>
        </w:rPr>
        <w:t>1、本次评级费用为：人民币（大写）</w:t>
      </w:r>
      <w:r>
        <w:rPr>
          <w:rFonts w:ascii="仿宋_GB2312" w:hAnsi="宋体"/>
          <w:bCs/>
          <w:sz w:val="24"/>
          <w:szCs w:val="24"/>
          <w:highlight w:val="none"/>
          <w:u w:val="single"/>
        </w:rPr>
        <w:t xml:space="preserve">     </w:t>
      </w:r>
      <w:r>
        <w:rPr>
          <w:rFonts w:ascii="仿宋_GB2312" w:hAnsi="宋体"/>
          <w:bCs/>
          <w:sz w:val="24"/>
          <w:szCs w:val="24"/>
          <w:highlight w:val="none"/>
        </w:rPr>
        <w:t>万元整（小写：¥</w:t>
      </w:r>
      <w:r>
        <w:rPr>
          <w:rFonts w:hint="eastAsia" w:ascii="仿宋_GB2312" w:hAnsi="宋体"/>
          <w:bCs/>
          <w:sz w:val="24"/>
          <w:szCs w:val="24"/>
          <w:highlight w:val="none"/>
          <w:lang w:val="en-US" w:eastAsia="zh-CN"/>
        </w:rPr>
        <w:t xml:space="preserve">  </w:t>
      </w:r>
      <w:r>
        <w:rPr>
          <w:rFonts w:ascii="仿宋_GB2312" w:hAnsi="宋体"/>
          <w:bCs/>
          <w:sz w:val="24"/>
          <w:szCs w:val="24"/>
          <w:highlight w:val="none"/>
          <w:u w:val="single"/>
        </w:rPr>
        <w:t xml:space="preserve">  </w:t>
      </w:r>
      <w:r>
        <w:rPr>
          <w:rFonts w:hint="eastAsia" w:ascii="仿宋_GB2312" w:hAnsi="宋体"/>
          <w:bCs/>
          <w:sz w:val="24"/>
          <w:szCs w:val="24"/>
          <w:highlight w:val="none"/>
        </w:rPr>
        <w:t>）。</w:t>
      </w:r>
    </w:p>
    <w:p w14:paraId="1EA14BE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ind w:firstLine="480" w:firstLineChars="200"/>
        <w:jc w:val="both"/>
        <w:rPr>
          <w:rFonts w:ascii="仿宋_GB2312" w:hAnsi="宋体"/>
          <w:bCs/>
          <w:sz w:val="24"/>
          <w:szCs w:val="24"/>
          <w:highlight w:val="none"/>
        </w:rPr>
      </w:pPr>
      <w:r>
        <w:rPr>
          <w:rFonts w:hint="eastAsia" w:ascii="仿宋_GB2312" w:hAnsi="宋体"/>
          <w:bCs/>
          <w:sz w:val="24"/>
          <w:szCs w:val="24"/>
          <w:highlight w:val="none"/>
        </w:rPr>
        <w:t>本合同签署后</w:t>
      </w:r>
      <w:r>
        <w:rPr>
          <w:rFonts w:ascii="仿宋_GB2312" w:hAnsi="宋体"/>
          <w:bCs/>
          <w:sz w:val="24"/>
          <w:szCs w:val="24"/>
          <w:highlight w:val="none"/>
          <w:u w:val="single"/>
        </w:rPr>
        <w:t xml:space="preserve"> 五</w:t>
      </w:r>
      <w:r>
        <w:rPr>
          <w:rFonts w:ascii="仿宋_GB2312" w:hAnsi="宋体"/>
          <w:bCs/>
          <w:sz w:val="24"/>
          <w:szCs w:val="24"/>
          <w:highlight w:val="none"/>
        </w:rPr>
        <w:t xml:space="preserve"> 个</w:t>
      </w:r>
      <w:r>
        <w:rPr>
          <w:rFonts w:hint="eastAsia" w:ascii="仿宋_GB2312" w:hAnsi="宋体"/>
          <w:bCs/>
          <w:sz w:val="24"/>
          <w:szCs w:val="24"/>
          <w:highlight w:val="none"/>
        </w:rPr>
        <w:t>工作日内，甲方应当以银行转账方式将上述费用一次性支付至乙方指定账户。</w:t>
      </w:r>
    </w:p>
    <w:p w14:paraId="15FFF97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ind w:firstLine="480" w:firstLineChars="200"/>
        <w:jc w:val="both"/>
        <w:rPr>
          <w:rFonts w:ascii="仿宋_GB2312" w:hAnsi="宋体"/>
          <w:sz w:val="24"/>
          <w:szCs w:val="24"/>
          <w:highlight w:val="none"/>
        </w:rPr>
      </w:pPr>
      <w:r>
        <w:rPr>
          <w:rFonts w:hint="eastAsia" w:ascii="仿宋_GB2312" w:hAnsi="宋体"/>
          <w:bCs/>
          <w:sz w:val="24"/>
          <w:szCs w:val="24"/>
          <w:highlight w:val="none"/>
        </w:rPr>
        <w:t>2、</w:t>
      </w:r>
      <w:r>
        <w:rPr>
          <w:rFonts w:hint="eastAsia" w:ascii="仿宋_GB2312" w:hAnsi="宋体"/>
          <w:sz w:val="24"/>
          <w:szCs w:val="24"/>
          <w:highlight w:val="none"/>
        </w:rPr>
        <w:t>乙方账户信息：</w:t>
      </w:r>
    </w:p>
    <w:p w14:paraId="3FA5DD15">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520" w:lineRule="exact"/>
        <w:ind w:firstLine="480" w:firstLineChars="200"/>
        <w:jc w:val="both"/>
        <w:rPr>
          <w:rFonts w:ascii="仿宋_GB2312" w:hAnsi="宋体"/>
          <w:bCs/>
          <w:sz w:val="24"/>
          <w:szCs w:val="24"/>
          <w:highlight w:val="none"/>
        </w:rPr>
      </w:pPr>
      <w:r>
        <w:rPr>
          <w:rFonts w:hint="eastAsia" w:ascii="仿宋_GB2312" w:hAnsi="宋体"/>
          <w:bCs/>
          <w:sz w:val="24"/>
          <w:szCs w:val="24"/>
          <w:highlight w:val="none"/>
        </w:rPr>
        <w:t>户  名：</w:t>
      </w:r>
    </w:p>
    <w:p w14:paraId="57DB71C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520" w:lineRule="exact"/>
        <w:ind w:firstLine="480" w:firstLineChars="200"/>
        <w:jc w:val="both"/>
        <w:rPr>
          <w:rFonts w:ascii="仿宋_GB2312" w:hAnsi="宋体"/>
          <w:bCs/>
          <w:sz w:val="24"/>
          <w:szCs w:val="24"/>
          <w:highlight w:val="none"/>
        </w:rPr>
      </w:pPr>
      <w:r>
        <w:rPr>
          <w:rFonts w:hint="eastAsia" w:ascii="仿宋_GB2312" w:hAnsi="宋体"/>
          <w:bCs/>
          <w:sz w:val="24"/>
          <w:szCs w:val="24"/>
          <w:highlight w:val="none"/>
        </w:rPr>
        <w:t>开户行：</w:t>
      </w:r>
    </w:p>
    <w:p w14:paraId="11CA25E8">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520" w:lineRule="exact"/>
        <w:ind w:firstLine="480" w:firstLineChars="200"/>
        <w:jc w:val="both"/>
        <w:rPr>
          <w:rFonts w:ascii="仿宋_GB2312" w:hAnsi="宋体"/>
          <w:bCs/>
          <w:sz w:val="24"/>
          <w:szCs w:val="24"/>
          <w:highlight w:val="none"/>
        </w:rPr>
      </w:pPr>
      <w:r>
        <w:rPr>
          <w:rFonts w:hint="eastAsia" w:ascii="仿宋_GB2312" w:hAnsi="宋体"/>
          <w:bCs/>
          <w:sz w:val="24"/>
          <w:szCs w:val="24"/>
          <w:highlight w:val="none"/>
        </w:rPr>
        <w:t>账  号：</w:t>
      </w:r>
      <w:r>
        <w:rPr>
          <w:rFonts w:ascii="仿宋_GB2312" w:hAnsi="宋体"/>
          <w:bCs/>
          <w:sz w:val="24"/>
          <w:szCs w:val="24"/>
          <w:highlight w:val="none"/>
        </w:rPr>
        <w:cr/>
      </w:r>
    </w:p>
    <w:p w14:paraId="57B9D51B">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甲方开票信息：</w:t>
      </w:r>
    </w:p>
    <w:p w14:paraId="119C00D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户  名：</w:t>
      </w:r>
    </w:p>
    <w:p w14:paraId="49F6B156">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 xml:space="preserve">开户行： </w:t>
      </w:r>
    </w:p>
    <w:p w14:paraId="1929EBE2">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账  号：</w:t>
      </w:r>
    </w:p>
    <w:p w14:paraId="75448B3D">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纳税人识别号：</w:t>
      </w:r>
    </w:p>
    <w:p w14:paraId="1C8ABE74">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电  话：</w:t>
      </w:r>
    </w:p>
    <w:p w14:paraId="2D5C707B">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地  址：</w:t>
      </w:r>
    </w:p>
    <w:p w14:paraId="23EC5F7C">
      <w:pPr>
        <w:spacing w:line="440" w:lineRule="exact"/>
        <w:ind w:firstLine="482" w:firstLineChars="200"/>
        <w:rPr>
          <w:rFonts w:ascii="仿宋_GB2312" w:hAnsi="宋体"/>
          <w:b/>
          <w:sz w:val="24"/>
          <w:szCs w:val="24"/>
          <w:highlight w:val="none"/>
        </w:rPr>
      </w:pPr>
      <w:r>
        <w:rPr>
          <w:rFonts w:hint="eastAsia" w:ascii="仿宋_GB2312" w:hAnsi="宋体"/>
          <w:b/>
          <w:sz w:val="24"/>
          <w:szCs w:val="24"/>
          <w:highlight w:val="none"/>
        </w:rPr>
        <w:t>三、资料提供</w:t>
      </w:r>
    </w:p>
    <w:p w14:paraId="273A3E0A">
      <w:pPr>
        <w:snapToGrid w:val="0"/>
        <w:spacing w:line="440" w:lineRule="exact"/>
        <w:ind w:firstLine="480" w:firstLineChars="200"/>
        <w:jc w:val="both"/>
        <w:rPr>
          <w:rFonts w:ascii="仿宋_GB2312" w:hAnsi="宋体"/>
          <w:iCs/>
          <w:sz w:val="24"/>
          <w:szCs w:val="24"/>
          <w:highlight w:val="none"/>
        </w:rPr>
      </w:pPr>
      <w:r>
        <w:rPr>
          <w:rFonts w:hint="eastAsia" w:ascii="仿宋_GB2312" w:hAnsi="宋体"/>
          <w:sz w:val="24"/>
          <w:szCs w:val="24"/>
          <w:highlight w:val="none"/>
        </w:rPr>
        <w:t>1、</w:t>
      </w:r>
      <w:r>
        <w:rPr>
          <w:rFonts w:hint="eastAsia" w:ascii="仿宋_GB2312" w:hAnsi="宋体"/>
          <w:iCs/>
          <w:sz w:val="24"/>
          <w:szCs w:val="24"/>
          <w:highlight w:val="none"/>
        </w:rPr>
        <w:t>甲方应在</w:t>
      </w:r>
      <w:r>
        <w:rPr>
          <w:rFonts w:hint="eastAsia" w:ascii="仿宋_GB2312" w:hAnsi="宋体"/>
          <w:sz w:val="24"/>
          <w:szCs w:val="24"/>
          <w:highlight w:val="none"/>
        </w:rPr>
        <w:t>本合同签署生效后且</w:t>
      </w:r>
      <w:r>
        <w:rPr>
          <w:rFonts w:hint="eastAsia" w:ascii="仿宋_GB2312" w:hAnsi="宋体"/>
          <w:iCs/>
          <w:sz w:val="24"/>
          <w:szCs w:val="24"/>
          <w:highlight w:val="none"/>
        </w:rPr>
        <w:t>乙方提供尽职调查清单后的五个工作日内，将评级所需要的文件资料加盖公章后提交至乙方，并同步提交文件资料对应电子版，甲方提交的文件资料应满足乙方评级需要。</w:t>
      </w:r>
    </w:p>
    <w:p w14:paraId="2A131311">
      <w:pPr>
        <w:snapToGrid w:val="0"/>
        <w:spacing w:line="440" w:lineRule="exact"/>
        <w:ind w:firstLine="480" w:firstLineChars="200"/>
        <w:jc w:val="both"/>
        <w:rPr>
          <w:rFonts w:ascii="仿宋_GB2312" w:hAnsi="宋体"/>
          <w:iCs/>
          <w:sz w:val="24"/>
          <w:szCs w:val="24"/>
          <w:highlight w:val="none"/>
        </w:rPr>
      </w:pPr>
      <w:r>
        <w:rPr>
          <w:rFonts w:hint="eastAsia" w:ascii="仿宋_GB2312"/>
          <w:sz w:val="24"/>
          <w:szCs w:val="24"/>
          <w:highlight w:val="none"/>
        </w:rPr>
        <w:t>2、甲方保证在初评、复评、评级结果有效期内向乙方提供的文件、资料和信息以及其所作之陈述、声明或保证在提供时并在此后均具有合法性、真实性、准确性、完整性及有效性，不存在虚假记载、误导性陈述、重大遗漏及任何其他违规情形。</w:t>
      </w:r>
    </w:p>
    <w:p w14:paraId="7BDBFB59">
      <w:pPr>
        <w:snapToGrid w:val="0"/>
        <w:spacing w:line="440" w:lineRule="exact"/>
        <w:ind w:firstLine="480" w:firstLineChars="200"/>
        <w:jc w:val="both"/>
        <w:rPr>
          <w:rFonts w:ascii="仿宋_GB2312" w:hAnsi="宋体"/>
          <w:iCs/>
          <w:sz w:val="24"/>
          <w:szCs w:val="24"/>
          <w:highlight w:val="none"/>
        </w:rPr>
      </w:pPr>
      <w:r>
        <w:rPr>
          <w:rFonts w:hint="eastAsia" w:ascii="仿宋_GB2312" w:hAnsi="宋体"/>
          <w:iCs/>
          <w:sz w:val="24"/>
          <w:szCs w:val="24"/>
          <w:highlight w:val="none"/>
        </w:rPr>
        <w:t>3、甲方保证提交的文件资料不存在任何侵犯第三方版权、专利权等知识产权和商业秘密的情形。</w:t>
      </w:r>
    </w:p>
    <w:p w14:paraId="41990F81">
      <w:pPr>
        <w:snapToGrid w:val="0"/>
        <w:spacing w:line="440" w:lineRule="exact"/>
        <w:ind w:firstLine="480" w:firstLineChars="200"/>
        <w:jc w:val="both"/>
        <w:rPr>
          <w:rFonts w:ascii="仿宋_GB2312" w:hAnsi="宋体"/>
          <w:iCs/>
          <w:sz w:val="24"/>
          <w:szCs w:val="24"/>
          <w:highlight w:val="none"/>
        </w:rPr>
      </w:pPr>
      <w:r>
        <w:rPr>
          <w:rFonts w:hint="eastAsia" w:ascii="仿宋_GB2312" w:hAnsi="宋体"/>
          <w:iCs/>
          <w:sz w:val="24"/>
          <w:szCs w:val="24"/>
          <w:highlight w:val="none"/>
        </w:rPr>
        <w:t>4、</w:t>
      </w:r>
      <w:bookmarkStart w:id="86" w:name="auto_fouce_2"/>
      <w:r>
        <w:rPr>
          <w:rFonts w:hint="eastAsia" w:ascii="仿宋_GB2312" w:hAnsi="宋体"/>
          <w:iCs/>
          <w:sz w:val="24"/>
          <w:szCs w:val="24"/>
          <w:highlight w:val="none"/>
        </w:rPr>
        <w:t>未经乙方同意，重要的评级资料甲方提供后即不可随意更改和撤销，甲乙双方协商一致的除外。</w:t>
      </w:r>
      <w:bookmarkEnd w:id="86"/>
    </w:p>
    <w:p w14:paraId="67278B56">
      <w:pPr>
        <w:snapToGrid w:val="0"/>
        <w:spacing w:line="440" w:lineRule="exact"/>
        <w:ind w:firstLine="480" w:firstLineChars="200"/>
        <w:jc w:val="both"/>
        <w:rPr>
          <w:rFonts w:ascii="仿宋_GB2312" w:hAnsi="宋体"/>
          <w:iCs/>
          <w:sz w:val="24"/>
          <w:szCs w:val="24"/>
          <w:highlight w:val="none"/>
        </w:rPr>
      </w:pPr>
      <w:r>
        <w:rPr>
          <w:rFonts w:hint="eastAsia" w:ascii="仿宋_GB2312" w:hAnsi="宋体"/>
          <w:iCs/>
          <w:sz w:val="24"/>
          <w:szCs w:val="24"/>
          <w:highlight w:val="none"/>
        </w:rPr>
        <w:t>5、</w:t>
      </w:r>
      <w:bookmarkStart w:id="87" w:name="auto_fouce_3"/>
      <w:r>
        <w:rPr>
          <w:rFonts w:hint="eastAsia" w:ascii="仿宋_GB2312" w:hAnsi="宋体"/>
          <w:iCs/>
          <w:sz w:val="24"/>
          <w:szCs w:val="24"/>
          <w:highlight w:val="none"/>
        </w:rPr>
        <w:t>经甲方事先书面同意，甲方基于本合同向乙方提供的评级信息、数据、资料，乙方可用于甲方作为参与方的其他评级项目。</w:t>
      </w:r>
      <w:bookmarkEnd w:id="87"/>
    </w:p>
    <w:p w14:paraId="7ADE5CF0">
      <w:pPr>
        <w:snapToGrid w:val="0"/>
        <w:spacing w:line="440" w:lineRule="exact"/>
        <w:ind w:firstLine="480" w:firstLineChars="200"/>
        <w:jc w:val="both"/>
        <w:rPr>
          <w:rFonts w:ascii="仿宋_GB2312" w:hAnsi="宋体"/>
          <w:iCs/>
          <w:sz w:val="24"/>
          <w:szCs w:val="24"/>
          <w:highlight w:val="none"/>
        </w:rPr>
      </w:pPr>
      <w:r>
        <w:rPr>
          <w:rFonts w:hint="eastAsia" w:ascii="仿宋_GB2312" w:hAnsi="宋体"/>
          <w:iCs/>
          <w:sz w:val="24"/>
          <w:szCs w:val="24"/>
          <w:highlight w:val="none"/>
        </w:rPr>
        <w:t>6、在符合国家政策的前提下，甲方授权乙方通过相关合法渠道查询甲方的征信报告和相关征信记录。</w:t>
      </w:r>
    </w:p>
    <w:p w14:paraId="7192A755">
      <w:pPr>
        <w:snapToGrid w:val="0"/>
        <w:spacing w:line="440" w:lineRule="exact"/>
        <w:ind w:firstLine="482" w:firstLineChars="200"/>
        <w:rPr>
          <w:rFonts w:ascii="仿宋_GB2312" w:hAnsi="宋体"/>
          <w:b/>
          <w:sz w:val="24"/>
          <w:szCs w:val="24"/>
          <w:highlight w:val="none"/>
        </w:rPr>
      </w:pPr>
      <w:r>
        <w:rPr>
          <w:rFonts w:hint="eastAsia" w:ascii="仿宋_GB2312" w:hAnsi="宋体"/>
          <w:b/>
          <w:sz w:val="24"/>
          <w:szCs w:val="24"/>
          <w:highlight w:val="none"/>
        </w:rPr>
        <w:t>四、现场访谈</w:t>
      </w:r>
    </w:p>
    <w:p w14:paraId="68E67E02">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1、乙方于本合同签署且甲方全额付清评级费用后按照监管规定开展现场访谈工作，具体现场访谈时间由甲乙双方另行协商确定。</w:t>
      </w:r>
    </w:p>
    <w:p w14:paraId="7D01735F">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2、跟踪评级期间,乙方有权依据评级业务需要及本合同约定确定是否进行现场访谈，需进行现场访谈的，甲方应予以协助。</w:t>
      </w:r>
    </w:p>
    <w:p w14:paraId="2CCE5700">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3、甲方应配合乙方开展与评级有关的调查、访问、座谈及其他必要的活动，提供人员、设备、资料等便利。</w:t>
      </w:r>
    </w:p>
    <w:p w14:paraId="7592799D">
      <w:pPr>
        <w:snapToGrid w:val="0"/>
        <w:spacing w:line="440" w:lineRule="exact"/>
        <w:ind w:firstLine="482" w:firstLineChars="200"/>
        <w:jc w:val="both"/>
        <w:rPr>
          <w:rFonts w:ascii="仿宋_GB2312" w:hAnsi="宋体"/>
          <w:sz w:val="24"/>
          <w:szCs w:val="24"/>
          <w:highlight w:val="none"/>
        </w:rPr>
      </w:pPr>
      <w:r>
        <w:rPr>
          <w:rFonts w:hint="eastAsia" w:ascii="仿宋_GB2312" w:hAnsi="宋体"/>
          <w:b/>
          <w:sz w:val="24"/>
          <w:szCs w:val="24"/>
          <w:highlight w:val="none"/>
        </w:rPr>
        <w:t>五、征求意见</w:t>
      </w:r>
    </w:p>
    <w:p w14:paraId="6E0EF178">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乙方出具评级报告前，应以电子邮件或书面方式向甲方发送评级报告征求意见稿。甲方如有异议的，应在收到信用等级征求文件后</w:t>
      </w:r>
      <w:r>
        <w:rPr>
          <w:rFonts w:ascii="仿宋_GB2312" w:hAnsi="宋体"/>
          <w:sz w:val="24"/>
          <w:szCs w:val="24"/>
          <w:highlight w:val="none"/>
        </w:rPr>
        <w:t>5</w:t>
      </w:r>
      <w:r>
        <w:rPr>
          <w:rFonts w:hint="eastAsia" w:ascii="仿宋_GB2312" w:hAnsi="宋体"/>
          <w:sz w:val="24"/>
          <w:szCs w:val="24"/>
          <w:highlight w:val="none"/>
        </w:rPr>
        <w:t>个工作日内提出，未提出视为接受该评级结果。不定期跟踪评级或其他特殊情况下，若乙方项目组发出的信用等级征求文件就提出异议的时间另有规定的，以相关文件规定的时间为准。</w:t>
      </w:r>
    </w:p>
    <w:p w14:paraId="0DA37E39">
      <w:pPr>
        <w:snapToGrid w:val="0"/>
        <w:spacing w:line="440" w:lineRule="exact"/>
        <w:ind w:firstLine="482" w:firstLineChars="200"/>
        <w:jc w:val="both"/>
        <w:rPr>
          <w:rFonts w:ascii="仿宋_GB2312" w:hAnsi="宋体"/>
          <w:b/>
          <w:sz w:val="24"/>
          <w:szCs w:val="24"/>
          <w:highlight w:val="none"/>
        </w:rPr>
      </w:pPr>
      <w:r>
        <w:rPr>
          <w:rFonts w:hint="eastAsia" w:ascii="仿宋_GB2312" w:hAnsi="宋体"/>
          <w:b/>
          <w:sz w:val="24"/>
          <w:szCs w:val="24"/>
          <w:highlight w:val="none"/>
        </w:rPr>
        <w:t>六、复评</w:t>
      </w:r>
    </w:p>
    <w:p w14:paraId="567BAF09">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1、甲方对评级结果有异议的，应在收到信用等级征求文件后</w:t>
      </w:r>
      <w:r>
        <w:rPr>
          <w:rFonts w:ascii="仿宋_GB2312" w:hAnsi="宋体"/>
          <w:sz w:val="24"/>
          <w:szCs w:val="24"/>
          <w:highlight w:val="none"/>
        </w:rPr>
        <w:t>5</w:t>
      </w:r>
      <w:r>
        <w:rPr>
          <w:rFonts w:hint="eastAsia" w:ascii="仿宋_GB2312" w:hAnsi="宋体"/>
          <w:sz w:val="24"/>
          <w:szCs w:val="24"/>
          <w:highlight w:val="none"/>
        </w:rPr>
        <w:t>个工作日内以书面形式向乙方提出复评申请并补充相应资料，如逾期未提供，则乙方不再受理复评申请。不定期跟踪评级或其他特殊情况下，若乙方项目组发出的信用等级征求文件就提出异议的时间另有规定的，以相关文件规定的时间为准。</w:t>
      </w:r>
    </w:p>
    <w:p w14:paraId="0B323B40">
      <w:pPr>
        <w:snapToGrid w:val="0"/>
        <w:spacing w:line="440" w:lineRule="exact"/>
        <w:ind w:firstLine="480" w:firstLineChars="200"/>
        <w:jc w:val="both"/>
        <w:rPr>
          <w:rFonts w:ascii="仿宋_GB2312"/>
          <w:sz w:val="24"/>
          <w:szCs w:val="24"/>
          <w:highlight w:val="none"/>
        </w:rPr>
      </w:pPr>
      <w:r>
        <w:rPr>
          <w:rFonts w:hint="eastAsia" w:ascii="仿宋_GB2312" w:hAnsi="宋体"/>
          <w:sz w:val="24"/>
          <w:szCs w:val="24"/>
          <w:highlight w:val="none"/>
        </w:rPr>
        <w:t>2、乙方收到</w:t>
      </w:r>
      <w:r>
        <w:rPr>
          <w:rFonts w:hint="eastAsia" w:ascii="仿宋_GB2312"/>
          <w:sz w:val="24"/>
          <w:szCs w:val="24"/>
          <w:highlight w:val="none"/>
        </w:rPr>
        <w:t>甲方复评申请及相应补充材料后开展复评工作。</w:t>
      </w:r>
    </w:p>
    <w:p w14:paraId="743103E5">
      <w:pPr>
        <w:snapToGrid w:val="0"/>
        <w:spacing w:line="440" w:lineRule="exact"/>
        <w:ind w:firstLine="480" w:firstLineChars="200"/>
        <w:jc w:val="both"/>
        <w:rPr>
          <w:rFonts w:ascii="仿宋_GB2312" w:hAnsi="宋体"/>
          <w:b/>
          <w:sz w:val="24"/>
          <w:szCs w:val="24"/>
          <w:highlight w:val="none"/>
        </w:rPr>
      </w:pPr>
      <w:r>
        <w:rPr>
          <w:rFonts w:hint="eastAsia" w:ascii="仿宋_GB2312"/>
          <w:sz w:val="24"/>
          <w:szCs w:val="24"/>
          <w:highlight w:val="none"/>
        </w:rPr>
        <w:t>3、</w:t>
      </w:r>
      <w:r>
        <w:rPr>
          <w:rFonts w:hint="eastAsia" w:ascii="仿宋_GB2312" w:hAnsi="宋体"/>
          <w:sz w:val="24"/>
          <w:szCs w:val="24"/>
          <w:highlight w:val="none"/>
        </w:rPr>
        <w:t>复评仅限一次，复评结果即为最终评级结果。</w:t>
      </w:r>
    </w:p>
    <w:p w14:paraId="635330C5">
      <w:pPr>
        <w:snapToGrid w:val="0"/>
        <w:spacing w:line="440" w:lineRule="exact"/>
        <w:ind w:firstLine="482" w:firstLineChars="200"/>
        <w:jc w:val="both"/>
        <w:rPr>
          <w:rFonts w:ascii="仿宋_GB2312" w:hAnsi="宋体"/>
          <w:b/>
          <w:sz w:val="24"/>
          <w:szCs w:val="24"/>
          <w:highlight w:val="none"/>
        </w:rPr>
      </w:pPr>
      <w:r>
        <w:rPr>
          <w:rFonts w:hint="eastAsia" w:ascii="仿宋_GB2312" w:hAnsi="宋体"/>
          <w:b/>
          <w:sz w:val="24"/>
          <w:szCs w:val="24"/>
          <w:highlight w:val="none"/>
        </w:rPr>
        <w:t>七、报告出具</w:t>
      </w:r>
    </w:p>
    <w:p w14:paraId="4436F828">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1、</w:t>
      </w:r>
      <w:bookmarkStart w:id="88" w:name="tip_risk_bookmark_4"/>
      <w:r>
        <w:rPr>
          <w:rFonts w:hint="eastAsia" w:ascii="仿宋_GB2312" w:hAnsi="宋体"/>
          <w:sz w:val="24"/>
          <w:szCs w:val="24"/>
          <w:highlight w:val="none"/>
        </w:rPr>
        <w:t>乙方应于甲方按要求提供全部评级资料后</w:t>
      </w:r>
      <w:r>
        <w:rPr>
          <w:rFonts w:hint="eastAsia" w:ascii="仿宋_GB2312" w:hAnsi="宋体"/>
          <w:sz w:val="24"/>
          <w:szCs w:val="24"/>
          <w:highlight w:val="none"/>
          <w:u w:val="single"/>
        </w:rPr>
        <w:t xml:space="preserve"> </w:t>
      </w:r>
      <w:r>
        <w:rPr>
          <w:rFonts w:ascii="仿宋_GB2312" w:hAnsi="宋体"/>
          <w:sz w:val="24"/>
          <w:szCs w:val="24"/>
          <w:highlight w:val="none"/>
          <w:u w:val="single"/>
        </w:rPr>
        <w:t>50</w:t>
      </w:r>
      <w:r>
        <w:rPr>
          <w:rFonts w:hint="eastAsia" w:ascii="仿宋_GB2312" w:hAnsi="宋体"/>
          <w:sz w:val="24"/>
          <w:szCs w:val="24"/>
          <w:highlight w:val="none"/>
          <w:u w:val="single"/>
        </w:rPr>
        <w:t xml:space="preserve"> </w:t>
      </w:r>
      <w:r>
        <w:rPr>
          <w:rFonts w:hint="eastAsia" w:ascii="仿宋_GB2312" w:hAnsi="宋体"/>
          <w:sz w:val="24"/>
          <w:szCs w:val="24"/>
          <w:highlight w:val="none"/>
        </w:rPr>
        <w:t>日内出具评级报告。若因甲方原因、不可抗力等意外情况需延长评级工作时间的，甲乙双方应另行协商确定评级报告出具时间。</w:t>
      </w:r>
      <w:bookmarkEnd w:id="88"/>
    </w:p>
    <w:p w14:paraId="3C2545E8">
      <w:pPr>
        <w:snapToGrid w:val="0"/>
        <w:spacing w:line="440" w:lineRule="exact"/>
        <w:ind w:firstLine="480" w:firstLineChars="200"/>
        <w:jc w:val="both"/>
        <w:rPr>
          <w:rFonts w:ascii="仿宋_GB2312" w:hAnsi="宋体"/>
          <w:sz w:val="24"/>
          <w:szCs w:val="24"/>
          <w:highlight w:val="none"/>
        </w:rPr>
      </w:pPr>
      <w:r>
        <w:rPr>
          <w:rFonts w:hint="eastAsia" w:ascii="仿宋_GB2312"/>
          <w:sz w:val="24"/>
          <w:szCs w:val="24"/>
          <w:highlight w:val="none"/>
        </w:rPr>
        <w:t>2、</w:t>
      </w:r>
      <w:r>
        <w:rPr>
          <w:rFonts w:hint="eastAsia" w:ascii="仿宋_GB2312" w:hAnsi="宋体"/>
          <w:sz w:val="24"/>
          <w:szCs w:val="24"/>
          <w:highlight w:val="none"/>
        </w:rPr>
        <w:t>甲方不得以任何方式影响和干扰乙方评级。</w:t>
      </w:r>
    </w:p>
    <w:p w14:paraId="7F8546E6">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3、乙方应根据甲方需要将评级报告以电子版和/或纸质版形式交付甲方。</w:t>
      </w:r>
    </w:p>
    <w:p w14:paraId="44AD0F99">
      <w:pPr>
        <w:snapToGrid w:val="0"/>
        <w:spacing w:line="440" w:lineRule="exact"/>
        <w:ind w:firstLine="601"/>
        <w:rPr>
          <w:rFonts w:ascii="仿宋_GB2312" w:hAnsi="宋体"/>
          <w:b/>
          <w:sz w:val="24"/>
          <w:szCs w:val="24"/>
          <w:highlight w:val="none"/>
        </w:rPr>
      </w:pPr>
      <w:r>
        <w:rPr>
          <w:rFonts w:hint="eastAsia" w:ascii="仿宋_GB2312" w:hAnsi="宋体"/>
          <w:b/>
          <w:sz w:val="24"/>
          <w:szCs w:val="24"/>
          <w:highlight w:val="none"/>
        </w:rPr>
        <w:t>八、跟踪评级</w:t>
      </w:r>
    </w:p>
    <w:p w14:paraId="319B055A">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1、在评级结果有效期内，甲方披露乙方评定的评级结果、使用乙方出具的评级报告/评级结果发行债项且事先征得乙方书面同意的，乙方将进行主体跟踪评级，持续监测甲方一切影响偿债能力因素的重大变化，并据此进行评级级别调整或展望调整。乙方开展跟踪评级工作的，跟踪评级费用支付的相关事宜由甲、乙双方以书面形式另行确认。</w:t>
      </w:r>
    </w:p>
    <w:p w14:paraId="7EBD5C8E">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未经乙方事先书面同意，甲方引用乙方所出具的主体评级结果和主体评级报告发行债项的，乙方无需对该债项进行跟踪评级，对甲方及该债项产生影响的乙方不承担法律责任，且乙方有权将该情况进行公告。</w:t>
      </w:r>
    </w:p>
    <w:p w14:paraId="3744AB6E">
      <w:pPr>
        <w:adjustRightInd w:val="0"/>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2、甲方应</w:t>
      </w:r>
      <w:r>
        <w:rPr>
          <w:rFonts w:hint="eastAsia" w:ascii="仿宋_GB2312" w:hAnsi="宋体"/>
          <w:iCs/>
          <w:sz w:val="24"/>
          <w:szCs w:val="24"/>
          <w:highlight w:val="none"/>
        </w:rPr>
        <w:t>根据本合同约定提供跟踪评级相关材料，确保材料的</w:t>
      </w:r>
      <w:r>
        <w:rPr>
          <w:rFonts w:hint="eastAsia" w:ascii="仿宋_GB2312"/>
          <w:sz w:val="24"/>
          <w:szCs w:val="24"/>
          <w:highlight w:val="none"/>
        </w:rPr>
        <w:t>合法性、真实性、准确性、完整性及有效性</w:t>
      </w:r>
      <w:r>
        <w:rPr>
          <w:rFonts w:hint="eastAsia" w:ascii="仿宋_GB2312" w:hAnsi="宋体"/>
          <w:iCs/>
          <w:sz w:val="24"/>
          <w:szCs w:val="24"/>
          <w:highlight w:val="none"/>
        </w:rPr>
        <w:t>并配合乙方开展跟踪评级现场访谈工作。甲方拒绝配合或不能及时按要求提供相关材料的，乙方有权终止评级并不承担任何违约责任，或依据公开信息分析并调整甲方的评级级别</w:t>
      </w:r>
      <w:r>
        <w:rPr>
          <w:rFonts w:hint="eastAsia" w:ascii="仿宋_GB2312" w:hAnsi="宋体"/>
          <w:sz w:val="24"/>
          <w:szCs w:val="24"/>
          <w:highlight w:val="none"/>
        </w:rPr>
        <w:t>，必要时乙方可终止评级、撤销评级、宣布原评级结果暂时失效。</w:t>
      </w:r>
    </w:p>
    <w:p w14:paraId="3A860A8C">
      <w:pPr>
        <w:adjustRightInd w:val="0"/>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3</w:t>
      </w:r>
      <w:r>
        <w:rPr>
          <w:rFonts w:ascii="仿宋_GB2312" w:hAnsi="宋体"/>
          <w:sz w:val="24"/>
          <w:szCs w:val="24"/>
          <w:highlight w:val="none"/>
        </w:rPr>
        <w:t>、</w:t>
      </w:r>
      <w:r>
        <w:rPr>
          <w:rFonts w:hint="eastAsia" w:ascii="仿宋_GB2312" w:hAnsi="宋体"/>
          <w:sz w:val="24"/>
          <w:szCs w:val="24"/>
          <w:highlight w:val="none"/>
        </w:rPr>
        <w:t>在评级有效期内，甲方发生财务、经营、资产、债务、股权等影响信用状况的重大变动或突发事件的，事件发生后应及时以书面形式如实通知乙方。</w:t>
      </w:r>
    </w:p>
    <w:p w14:paraId="0EB91E81">
      <w:pPr>
        <w:adjustRightInd w:val="0"/>
        <w:snapToGrid w:val="0"/>
        <w:spacing w:line="440" w:lineRule="exact"/>
        <w:ind w:firstLine="482" w:firstLineChars="200"/>
        <w:jc w:val="both"/>
        <w:rPr>
          <w:rFonts w:ascii="仿宋_GB2312" w:hAnsi="宋体"/>
          <w:b/>
          <w:sz w:val="24"/>
          <w:szCs w:val="24"/>
          <w:highlight w:val="none"/>
        </w:rPr>
      </w:pPr>
      <w:r>
        <w:rPr>
          <w:rFonts w:hint="eastAsia" w:ascii="仿宋_GB2312" w:hAnsi="宋体"/>
          <w:b/>
          <w:sz w:val="24"/>
          <w:szCs w:val="24"/>
          <w:highlight w:val="none"/>
        </w:rPr>
        <w:t>九、信息披露</w:t>
      </w:r>
    </w:p>
    <w:p w14:paraId="63E06342">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1、经乙方事先书面同意，甲方披露评级报告或评级结果，或引用乙方所出具的主体评级结果和主体评级报告发行任何债项的，乙方有权按照法律法规规定或监管规定确定对外披露评级信息的时间和方式，披露前在监管规定允许的前提下可通知甲方。</w:t>
      </w:r>
    </w:p>
    <w:p w14:paraId="4687E837">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2、未经乙方事先书面同意，甲方自行披露评级报告或评级结果，或引用乙方所出具的主体评级结果和主体评级报告发行任何债项的，甲方应当保证披露或引用内容与乙方出具报告的一致性，否则，乙方有权要求甲方进行更改，并有权披露已出具的正式版本的评级报告，由此对甲方及该债项产生影响的，乙方不承担法律责任。</w:t>
      </w:r>
    </w:p>
    <w:p w14:paraId="0B53B9FB">
      <w:pPr>
        <w:snapToGrid w:val="0"/>
        <w:spacing w:line="440" w:lineRule="exact"/>
        <w:ind w:firstLine="480" w:firstLineChars="200"/>
        <w:jc w:val="both"/>
        <w:rPr>
          <w:rFonts w:ascii="仿宋_GB2312" w:hAnsi="宋体"/>
          <w:sz w:val="24"/>
          <w:szCs w:val="24"/>
          <w:highlight w:val="none"/>
        </w:rPr>
      </w:pPr>
      <w:r>
        <w:rPr>
          <w:rFonts w:ascii="仿宋_GB2312" w:hAnsi="宋体"/>
          <w:sz w:val="24"/>
          <w:szCs w:val="24"/>
          <w:highlight w:val="none"/>
        </w:rPr>
        <w:t>3</w:t>
      </w:r>
      <w:r>
        <w:rPr>
          <w:rFonts w:hint="eastAsia" w:ascii="仿宋_GB2312" w:hAnsi="宋体"/>
          <w:sz w:val="24"/>
          <w:szCs w:val="24"/>
          <w:highlight w:val="none"/>
        </w:rPr>
        <w:t>、甲方更换评级机构或同时委托其他评级机构同时进行评级的，应如实告知乙方，乙方按照监管规定披露评级报告。</w:t>
      </w:r>
    </w:p>
    <w:p w14:paraId="0E4415D2">
      <w:pPr>
        <w:snapToGrid w:val="0"/>
        <w:spacing w:line="440" w:lineRule="exact"/>
        <w:ind w:firstLine="482" w:firstLineChars="200"/>
        <w:jc w:val="both"/>
        <w:rPr>
          <w:rFonts w:ascii="仿宋_GB2312" w:hAnsi="宋体"/>
          <w:b/>
          <w:sz w:val="24"/>
          <w:szCs w:val="24"/>
          <w:highlight w:val="none"/>
        </w:rPr>
      </w:pPr>
      <w:r>
        <w:rPr>
          <w:rFonts w:hint="eastAsia" w:ascii="仿宋_GB2312" w:hAnsi="宋体"/>
          <w:b/>
          <w:bCs/>
          <w:sz w:val="24"/>
          <w:szCs w:val="24"/>
          <w:highlight w:val="none"/>
        </w:rPr>
        <w:t>十、</w:t>
      </w:r>
      <w:r>
        <w:rPr>
          <w:rFonts w:hint="eastAsia" w:ascii="仿宋_GB2312" w:hAnsi="宋体"/>
          <w:b/>
          <w:sz w:val="24"/>
          <w:szCs w:val="24"/>
          <w:highlight w:val="none"/>
        </w:rPr>
        <w:t>评级时效</w:t>
      </w:r>
    </w:p>
    <w:p w14:paraId="43F22EF4">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1、主体评级级别自评级报告出具之日起一年内有效，除非发生本合同第十一条约定的情形。</w:t>
      </w:r>
    </w:p>
    <w:p w14:paraId="66008087">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2、在甲方主体评级级别有效期内，甲方委托乙方进行债项评级且使用乙方评级报告成功发行债项的，则在债项存续期间，甲方应持续委托乙方进行企业资信评级。甲方没有继续委托乙方进行企业资信评级的，甲方主体评级级别有效期届满后，乙方有权书面通知甲方并公开披露甲方主体评级结果有效期届满的事宜，由此对甲方的存续债项产生影响的，乙方不承担法律责任。</w:t>
      </w:r>
    </w:p>
    <w:p w14:paraId="48D21D45">
      <w:pPr>
        <w:snapToGrid w:val="0"/>
        <w:spacing w:line="440" w:lineRule="exact"/>
        <w:ind w:firstLine="482" w:firstLineChars="200"/>
        <w:jc w:val="both"/>
        <w:rPr>
          <w:rFonts w:ascii="仿宋_GB2312" w:hAnsi="宋体"/>
          <w:b/>
          <w:sz w:val="24"/>
          <w:szCs w:val="24"/>
          <w:highlight w:val="none"/>
        </w:rPr>
      </w:pPr>
      <w:r>
        <w:rPr>
          <w:rFonts w:hint="eastAsia" w:ascii="仿宋_GB2312" w:hAnsi="宋体"/>
          <w:b/>
          <w:sz w:val="24"/>
          <w:szCs w:val="24"/>
          <w:highlight w:val="none"/>
        </w:rPr>
        <w:t>十一、评级终止或撤销</w:t>
      </w:r>
    </w:p>
    <w:p w14:paraId="386B2726">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发生下列情形之一的，乙方可以终止或者撤销评级并及时进行公告，同时，本合同自动终止：</w:t>
      </w:r>
    </w:p>
    <w:p w14:paraId="04A27FA4">
      <w:pPr>
        <w:ind w:firstLine="480" w:firstLineChars="200"/>
        <w:rPr>
          <w:rFonts w:ascii="仿宋_GB2312" w:hAnsi="宋体"/>
          <w:sz w:val="24"/>
          <w:szCs w:val="24"/>
          <w:highlight w:val="none"/>
        </w:rPr>
      </w:pPr>
      <w:r>
        <w:rPr>
          <w:rFonts w:hint="eastAsia" w:ascii="仿宋_GB2312" w:hAnsi="宋体"/>
          <w:sz w:val="24"/>
          <w:szCs w:val="24"/>
          <w:highlight w:val="none"/>
        </w:rPr>
        <w:t>1、甲方拒不提供评级所需关键材料或者提供的材料存在虚假记载、误导性陈述或者重大遗漏的；</w:t>
      </w:r>
    </w:p>
    <w:p w14:paraId="4649FD0B">
      <w:pPr>
        <w:ind w:firstLine="480" w:firstLineChars="200"/>
        <w:rPr>
          <w:rFonts w:ascii="仿宋_GB2312" w:hAnsi="宋体"/>
          <w:sz w:val="24"/>
          <w:szCs w:val="24"/>
          <w:highlight w:val="none"/>
        </w:rPr>
      </w:pPr>
      <w:r>
        <w:rPr>
          <w:rFonts w:hint="eastAsia" w:ascii="仿宋_GB2312" w:hAnsi="宋体"/>
          <w:sz w:val="24"/>
          <w:szCs w:val="24"/>
          <w:highlight w:val="none"/>
        </w:rPr>
        <w:t>2、甲方以不正当方式干扰乙方开展尽职调查，导致乙方无法获取评级所需关键材料的；</w:t>
      </w:r>
    </w:p>
    <w:p w14:paraId="37D0153F">
      <w:pPr>
        <w:ind w:firstLine="480" w:firstLineChars="200"/>
        <w:rPr>
          <w:rFonts w:ascii="仿宋_GB2312" w:hAnsi="宋体"/>
          <w:sz w:val="24"/>
          <w:szCs w:val="24"/>
          <w:highlight w:val="none"/>
        </w:rPr>
      </w:pPr>
      <w:r>
        <w:rPr>
          <w:rFonts w:hint="eastAsia" w:ascii="仿宋_GB2312" w:hAnsi="宋体"/>
          <w:sz w:val="24"/>
          <w:szCs w:val="24"/>
          <w:highlight w:val="none"/>
        </w:rPr>
        <w:t>3、甲方不能及时提供跟踪评级相关资料且乙方无法自行收集到相关资料的；</w:t>
      </w:r>
    </w:p>
    <w:p w14:paraId="1FF44A9B">
      <w:pPr>
        <w:ind w:firstLine="480" w:firstLineChars="200"/>
        <w:rPr>
          <w:rFonts w:ascii="仿宋_GB2312" w:hAnsi="宋体"/>
          <w:sz w:val="24"/>
          <w:szCs w:val="24"/>
          <w:highlight w:val="none"/>
        </w:rPr>
      </w:pPr>
      <w:r>
        <w:rPr>
          <w:rFonts w:hint="eastAsia" w:ascii="仿宋_GB2312" w:hAnsi="宋体"/>
          <w:sz w:val="24"/>
          <w:szCs w:val="24"/>
          <w:highlight w:val="none"/>
        </w:rPr>
        <w:t>4、甲方解散、被依法宣告破产或不再存续的；</w:t>
      </w:r>
    </w:p>
    <w:p w14:paraId="316A04C3">
      <w:pPr>
        <w:snapToGrid w:val="0"/>
        <w:spacing w:line="440" w:lineRule="exact"/>
        <w:ind w:firstLine="480" w:firstLineChars="200"/>
        <w:jc w:val="both"/>
        <w:rPr>
          <w:rFonts w:ascii="仿宋_GB2312" w:hAnsi="宋体"/>
          <w:sz w:val="24"/>
          <w:szCs w:val="24"/>
          <w:highlight w:val="none"/>
        </w:rPr>
      </w:pPr>
      <w:r>
        <w:rPr>
          <w:rFonts w:ascii="仿宋_GB2312" w:hAnsi="宋体"/>
          <w:sz w:val="24"/>
          <w:szCs w:val="24"/>
          <w:highlight w:val="none"/>
        </w:rPr>
        <w:t>5</w:t>
      </w:r>
      <w:r>
        <w:rPr>
          <w:rFonts w:hint="eastAsia" w:ascii="仿宋_GB2312" w:hAnsi="宋体"/>
          <w:sz w:val="24"/>
          <w:szCs w:val="24"/>
          <w:highlight w:val="none"/>
        </w:rPr>
        <w:t>、</w:t>
      </w:r>
      <w:bookmarkStart w:id="89" w:name="auto_fouce_5"/>
      <w:r>
        <w:rPr>
          <w:rFonts w:hint="eastAsia" w:ascii="仿宋_GB2312" w:hAnsi="宋体"/>
          <w:sz w:val="24"/>
          <w:szCs w:val="24"/>
          <w:highlight w:val="none"/>
        </w:rPr>
        <w:t>甲方不按本合同约定支付评级费用，经乙方书面催告后在合理期限内仍未支付的；</w:t>
      </w:r>
      <w:bookmarkEnd w:id="89"/>
    </w:p>
    <w:p w14:paraId="7C3C1596">
      <w:pPr>
        <w:snapToGrid w:val="0"/>
        <w:spacing w:line="440" w:lineRule="exact"/>
        <w:ind w:firstLine="480" w:firstLineChars="200"/>
        <w:jc w:val="both"/>
        <w:rPr>
          <w:rFonts w:ascii="仿宋_GB2312" w:hAnsi="宋体"/>
          <w:sz w:val="24"/>
          <w:szCs w:val="24"/>
          <w:highlight w:val="none"/>
        </w:rPr>
      </w:pPr>
      <w:r>
        <w:rPr>
          <w:rFonts w:ascii="仿宋_GB2312" w:hAnsi="宋体"/>
          <w:sz w:val="24"/>
          <w:szCs w:val="24"/>
          <w:highlight w:val="none"/>
        </w:rPr>
        <w:t>6</w:t>
      </w:r>
      <w:r>
        <w:rPr>
          <w:rFonts w:hint="eastAsia" w:ascii="仿宋_GB2312" w:hAnsi="宋体"/>
          <w:sz w:val="24"/>
          <w:szCs w:val="24"/>
          <w:highlight w:val="none"/>
        </w:rPr>
        <w:t>、评级工作不能正常开展的其他情形。</w:t>
      </w:r>
    </w:p>
    <w:p w14:paraId="083C50A3">
      <w:pPr>
        <w:snapToGrid w:val="0"/>
        <w:spacing w:line="440" w:lineRule="exact"/>
        <w:ind w:firstLine="482" w:firstLineChars="200"/>
        <w:jc w:val="both"/>
        <w:rPr>
          <w:rFonts w:ascii="仿宋_GB2312" w:hAnsi="宋体"/>
          <w:b/>
          <w:sz w:val="24"/>
          <w:szCs w:val="24"/>
          <w:highlight w:val="none"/>
        </w:rPr>
      </w:pPr>
      <w:r>
        <w:rPr>
          <w:rFonts w:hint="eastAsia" w:ascii="仿宋_GB2312" w:hAnsi="宋体"/>
          <w:b/>
          <w:sz w:val="24"/>
          <w:szCs w:val="24"/>
          <w:highlight w:val="none"/>
        </w:rPr>
        <w:t>十二、知识产权</w:t>
      </w:r>
    </w:p>
    <w:p w14:paraId="5C3A8562">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1、</w:t>
      </w:r>
      <w:bookmarkStart w:id="90" w:name="auto_fouce_6"/>
      <w:r>
        <w:rPr>
          <w:rFonts w:hint="eastAsia" w:ascii="仿宋_GB2312" w:hAnsi="宋体"/>
          <w:sz w:val="24"/>
          <w:szCs w:val="24"/>
          <w:highlight w:val="none"/>
        </w:rPr>
        <w:t>本合同项下评级报告及跟踪评级报告的知识产权归乙方所有，乙方保留署名、修改等相关权利。甲方在不违反本合同约定的前提下，享有在合同范围内免费使用评级报告及跟踪评级报告的权利。</w:t>
      </w:r>
      <w:bookmarkEnd w:id="90"/>
    </w:p>
    <w:p w14:paraId="2E17EA77">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2、甲方承诺不侵犯乙方就本合同项下评级报告及跟踪评级报告（若有）所享有的知识产权，甲方不得将乙方交付的评级报告及跟踪评级报告（若有）用于本合同载明的目的以外的用途。</w:t>
      </w:r>
    </w:p>
    <w:p w14:paraId="5354CD2A">
      <w:pPr>
        <w:snapToGrid w:val="0"/>
        <w:spacing w:line="440" w:lineRule="exact"/>
        <w:ind w:firstLine="482" w:firstLineChars="200"/>
        <w:jc w:val="both"/>
        <w:rPr>
          <w:rFonts w:ascii="仿宋_GB2312" w:hAnsi="宋体"/>
          <w:b/>
          <w:sz w:val="24"/>
          <w:szCs w:val="24"/>
          <w:highlight w:val="none"/>
        </w:rPr>
      </w:pPr>
      <w:r>
        <w:rPr>
          <w:rFonts w:hint="eastAsia" w:ascii="仿宋_GB2312" w:hAnsi="宋体"/>
          <w:b/>
          <w:sz w:val="24"/>
          <w:szCs w:val="24"/>
          <w:highlight w:val="none"/>
        </w:rPr>
        <w:t>十三、保密</w:t>
      </w:r>
    </w:p>
    <w:p w14:paraId="2FCEDFBD">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1、本合同各项条款及任何一方根据合同要求向对方披露的所有文件、资料和不为公众所知悉的所有信息均视为保密信息，各方均不得以任何形式全部或部分披露、提供给任何其他人，也不得用于本合同以外的其他任何目的。但</w:t>
      </w:r>
      <w:r>
        <w:rPr>
          <w:rFonts w:hint="eastAsia" w:ascii="仿宋_GB2312" w:hAnsi="宋体"/>
          <w:bCs/>
          <w:sz w:val="24"/>
          <w:szCs w:val="24"/>
          <w:highlight w:val="none"/>
        </w:rPr>
        <w:t>双方因</w:t>
      </w:r>
      <w:r>
        <w:rPr>
          <w:rFonts w:hint="eastAsia" w:ascii="仿宋_GB2312" w:hAnsi="宋体"/>
          <w:sz w:val="24"/>
          <w:szCs w:val="24"/>
          <w:highlight w:val="none"/>
        </w:rPr>
        <w:t>法定事由（包括但不限于依照法律、法规、监管规定、监管部门的要求进行披露、报备、协助司法机关调查等）或另有书面约定的除外。</w:t>
      </w:r>
    </w:p>
    <w:p w14:paraId="4764D634">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2、任何一方违反本条款约定的保密义务，应向对方承担违约赔偿责任。</w:t>
      </w:r>
    </w:p>
    <w:p w14:paraId="39D1C93A">
      <w:pPr>
        <w:snapToGrid w:val="0"/>
        <w:spacing w:line="440" w:lineRule="exact"/>
        <w:ind w:firstLine="480" w:firstLineChars="200"/>
        <w:jc w:val="both"/>
        <w:rPr>
          <w:rFonts w:ascii="仿宋_GB2312" w:hAnsi="宋体"/>
          <w:b/>
          <w:sz w:val="24"/>
          <w:szCs w:val="24"/>
          <w:highlight w:val="none"/>
        </w:rPr>
      </w:pPr>
      <w:r>
        <w:rPr>
          <w:rFonts w:hint="eastAsia" w:ascii="仿宋_GB2312" w:hAnsi="宋体"/>
          <w:sz w:val="24"/>
          <w:szCs w:val="24"/>
          <w:highlight w:val="none"/>
        </w:rPr>
        <w:t>3、本条款在合同终止后继续有效，直至保密信息被合法公开时止。</w:t>
      </w:r>
    </w:p>
    <w:p w14:paraId="2AF4BD34">
      <w:pPr>
        <w:snapToGrid w:val="0"/>
        <w:spacing w:line="440" w:lineRule="exact"/>
        <w:ind w:firstLine="482" w:firstLineChars="200"/>
        <w:jc w:val="both"/>
        <w:rPr>
          <w:rFonts w:ascii="仿宋_GB2312" w:hAnsi="宋体"/>
          <w:b/>
          <w:sz w:val="24"/>
          <w:szCs w:val="24"/>
          <w:highlight w:val="none"/>
        </w:rPr>
      </w:pPr>
      <w:r>
        <w:rPr>
          <w:rFonts w:hint="eastAsia" w:ascii="仿宋_GB2312" w:hAnsi="宋体"/>
          <w:b/>
          <w:sz w:val="24"/>
          <w:szCs w:val="24"/>
          <w:highlight w:val="none"/>
        </w:rPr>
        <w:t>十四、反商业贿赂</w:t>
      </w:r>
    </w:p>
    <w:p w14:paraId="37835271">
      <w:pPr>
        <w:snapToGrid w:val="0"/>
        <w:spacing w:line="440" w:lineRule="exact"/>
        <w:ind w:firstLine="480" w:firstLineChars="200"/>
        <w:jc w:val="both"/>
        <w:rPr>
          <w:rFonts w:ascii="仿宋_GB2312" w:hAnsi="宋体"/>
          <w:iCs/>
          <w:sz w:val="24"/>
          <w:szCs w:val="24"/>
          <w:highlight w:val="none"/>
        </w:rPr>
      </w:pPr>
      <w:r>
        <w:rPr>
          <w:rFonts w:hint="eastAsia" w:ascii="仿宋_GB2312" w:hAnsi="宋体"/>
          <w:iCs/>
          <w:sz w:val="24"/>
          <w:szCs w:val="24"/>
          <w:highlight w:val="none"/>
        </w:rPr>
        <w:t>1、甲方承诺反对和阻止任何形式的评级级别买卖行为，不为达到所需评级级别目的向乙方相关人员进行各种形式的行贿或利益输送。</w:t>
      </w:r>
    </w:p>
    <w:p w14:paraId="2E6AD2FC">
      <w:pPr>
        <w:snapToGrid w:val="0"/>
        <w:spacing w:line="440" w:lineRule="exact"/>
        <w:ind w:firstLine="480" w:firstLineChars="200"/>
        <w:jc w:val="both"/>
        <w:rPr>
          <w:rFonts w:ascii="仿宋_GB2312" w:hAnsi="宋体"/>
          <w:iCs/>
          <w:sz w:val="24"/>
          <w:szCs w:val="24"/>
          <w:highlight w:val="none"/>
        </w:rPr>
      </w:pPr>
      <w:r>
        <w:rPr>
          <w:rFonts w:hint="eastAsia" w:ascii="仿宋_GB2312"/>
          <w:sz w:val="24"/>
          <w:szCs w:val="24"/>
          <w:highlight w:val="none"/>
        </w:rPr>
        <w:t>2、甲方承诺拒绝乙方相关人员以向甲方承诺评级级别而提出的任何形式的索贿行为。</w:t>
      </w:r>
    </w:p>
    <w:p w14:paraId="4340F620">
      <w:pPr>
        <w:snapToGrid w:val="0"/>
        <w:spacing w:line="440" w:lineRule="exact"/>
        <w:ind w:firstLine="480" w:firstLineChars="200"/>
        <w:jc w:val="both"/>
        <w:rPr>
          <w:rFonts w:ascii="仿宋_GB2312" w:hAnsi="宋体"/>
          <w:iCs/>
          <w:sz w:val="24"/>
          <w:szCs w:val="24"/>
          <w:highlight w:val="none"/>
        </w:rPr>
      </w:pPr>
      <w:r>
        <w:rPr>
          <w:rFonts w:hint="eastAsia" w:ascii="仿宋_GB2312" w:hAnsi="宋体"/>
          <w:iCs/>
          <w:sz w:val="24"/>
          <w:szCs w:val="24"/>
          <w:highlight w:val="none"/>
        </w:rPr>
        <w:t>3、乙方一旦发现甲方违背承诺向乙方行贿或利益输送，可以立即调整或撤销其评级级别，同时向市场公布其贿赂行为。</w:t>
      </w:r>
    </w:p>
    <w:p w14:paraId="4C5CF930">
      <w:pPr>
        <w:tabs>
          <w:tab w:val="left" w:pos="5265"/>
          <w:tab w:val="left" w:pos="6023"/>
        </w:tabs>
        <w:snapToGrid w:val="0"/>
        <w:spacing w:line="440" w:lineRule="exact"/>
        <w:ind w:firstLine="482" w:firstLineChars="200"/>
        <w:jc w:val="both"/>
        <w:rPr>
          <w:rFonts w:ascii="仿宋_GB2312" w:hAnsi="宋体"/>
          <w:b/>
          <w:sz w:val="24"/>
          <w:szCs w:val="24"/>
          <w:highlight w:val="none"/>
        </w:rPr>
      </w:pPr>
      <w:r>
        <w:rPr>
          <w:rFonts w:hint="eastAsia" w:ascii="仿宋_GB2312" w:hAnsi="宋体"/>
          <w:b/>
          <w:sz w:val="24"/>
          <w:szCs w:val="24"/>
          <w:highlight w:val="none"/>
        </w:rPr>
        <w:t>十五、非保证条款</w:t>
      </w:r>
      <w:r>
        <w:rPr>
          <w:rFonts w:hint="eastAsia" w:ascii="仿宋_GB2312" w:hAnsi="宋体"/>
          <w:b/>
          <w:sz w:val="24"/>
          <w:szCs w:val="24"/>
          <w:highlight w:val="none"/>
        </w:rPr>
        <w:tab/>
      </w:r>
      <w:r>
        <w:rPr>
          <w:rFonts w:hint="eastAsia" w:ascii="仿宋_GB2312" w:hAnsi="宋体"/>
          <w:b/>
          <w:sz w:val="24"/>
          <w:szCs w:val="24"/>
          <w:highlight w:val="none"/>
        </w:rPr>
        <w:tab/>
      </w:r>
    </w:p>
    <w:p w14:paraId="30CAE060">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1、乙</w:t>
      </w:r>
      <w:r>
        <w:rPr>
          <w:rFonts w:hint="eastAsia" w:ascii="仿宋_GB2312" w:hAnsi="宋体"/>
          <w:iCs/>
          <w:sz w:val="24"/>
          <w:szCs w:val="24"/>
          <w:highlight w:val="none"/>
        </w:rPr>
        <w:t>方根据甲方提交的信息对评级级别进行独立客观评定。本合同的签订与履行均不应在任何程度上被视</w:t>
      </w:r>
      <w:r>
        <w:rPr>
          <w:rFonts w:hint="eastAsia" w:ascii="仿宋_GB2312" w:hAnsi="宋体"/>
          <w:sz w:val="24"/>
          <w:szCs w:val="24"/>
          <w:highlight w:val="none"/>
        </w:rPr>
        <w:t>为对甲方是否成功发行债务融资工具的任何形式的担保或者保证。</w:t>
      </w:r>
    </w:p>
    <w:p w14:paraId="262C83E7">
      <w:pPr>
        <w:spacing w:line="440" w:lineRule="exact"/>
        <w:ind w:firstLine="480" w:firstLineChars="200"/>
        <w:jc w:val="both"/>
        <w:rPr>
          <w:rFonts w:ascii="仿宋_GB2312" w:hAnsi="宋体"/>
          <w:iCs/>
          <w:sz w:val="24"/>
          <w:szCs w:val="24"/>
          <w:highlight w:val="none"/>
        </w:rPr>
      </w:pPr>
      <w:r>
        <w:rPr>
          <w:rFonts w:hint="eastAsia" w:ascii="仿宋_GB2312" w:hAnsi="宋体"/>
          <w:iCs/>
          <w:sz w:val="24"/>
          <w:szCs w:val="24"/>
          <w:highlight w:val="none"/>
        </w:rPr>
        <w:t>2、乙方出具的评级报告仅供参考，不作为购买、出售或持有任何债务融资工具的意见或建议，任何机构或个人应审慎使用评级报告并对相关结果负责。</w:t>
      </w:r>
    </w:p>
    <w:p w14:paraId="0BD5EE9B">
      <w:pPr>
        <w:spacing w:line="440" w:lineRule="exact"/>
        <w:ind w:firstLine="480" w:firstLineChars="200"/>
        <w:jc w:val="both"/>
        <w:rPr>
          <w:rFonts w:ascii="仿宋_GB2312" w:hAnsi="宋体"/>
          <w:iCs/>
          <w:sz w:val="24"/>
          <w:szCs w:val="24"/>
          <w:highlight w:val="none"/>
        </w:rPr>
      </w:pPr>
      <w:r>
        <w:rPr>
          <w:rFonts w:hint="eastAsia" w:ascii="仿宋_GB2312" w:hAnsi="宋体"/>
          <w:iCs/>
          <w:sz w:val="24"/>
          <w:szCs w:val="24"/>
          <w:highlight w:val="none"/>
        </w:rPr>
        <w:t>3、乙方对由甲方或其他相关第三方为本评级对象发行提供给乙方的信息或资料的合法性、真实性、准确性、完整性及有效性不作任何保证或给予任何其他担保（无论是对甲方或任何第三方）。</w:t>
      </w:r>
    </w:p>
    <w:p w14:paraId="57B2341D">
      <w:pPr>
        <w:spacing w:line="440" w:lineRule="exact"/>
        <w:ind w:firstLine="480" w:firstLineChars="200"/>
        <w:jc w:val="both"/>
        <w:rPr>
          <w:rFonts w:ascii="仿宋_GB2312" w:hAnsi="宋体"/>
          <w:iCs/>
          <w:sz w:val="24"/>
          <w:szCs w:val="24"/>
          <w:highlight w:val="none"/>
        </w:rPr>
      </w:pPr>
      <w:r>
        <w:rPr>
          <w:rFonts w:hint="eastAsia" w:ascii="仿宋_GB2312" w:hAnsi="宋体"/>
          <w:iCs/>
          <w:sz w:val="24"/>
          <w:szCs w:val="24"/>
          <w:highlight w:val="none"/>
        </w:rPr>
        <w:t>4、在任何情况下，乙方均不应因善意履行本合同项下的义务、出具评级结果及评级报告及发生评级终止的情形而对甲方或其他任何第三方承担任何赔偿责任。由于甲方向乙方提供的信息或资料存在瑕疵（如不合法、不真实、不准确、不完整及无效）而导致乙方的评级结果或评级报告不准确或发生任何其他问题，乙方对此不承担任何责任（无论是对甲方或任何第三方），由于乙方或其员工的任何欺诈或有意的不法行为所导致的索赔除外。</w:t>
      </w:r>
    </w:p>
    <w:p w14:paraId="4520FFB9">
      <w:pPr>
        <w:tabs>
          <w:tab w:val="left" w:pos="9126"/>
        </w:tabs>
        <w:snapToGrid w:val="0"/>
        <w:spacing w:line="440" w:lineRule="exact"/>
        <w:ind w:firstLine="482" w:firstLineChars="200"/>
        <w:rPr>
          <w:rFonts w:ascii="仿宋_GB2312" w:hAnsi="宋体"/>
          <w:b/>
          <w:sz w:val="24"/>
          <w:szCs w:val="24"/>
          <w:highlight w:val="none"/>
        </w:rPr>
      </w:pPr>
      <w:r>
        <w:rPr>
          <w:rFonts w:hint="eastAsia" w:ascii="仿宋_GB2312" w:hAnsi="宋体"/>
          <w:b/>
          <w:sz w:val="24"/>
          <w:szCs w:val="24"/>
          <w:highlight w:val="none"/>
        </w:rPr>
        <w:t>十六、不可抗力</w:t>
      </w:r>
    </w:p>
    <w:p w14:paraId="51B9296C">
      <w:pPr>
        <w:spacing w:line="440" w:lineRule="exact"/>
        <w:ind w:firstLine="480" w:firstLineChars="200"/>
        <w:jc w:val="both"/>
        <w:rPr>
          <w:rFonts w:ascii="仿宋_GB2312" w:hAnsi="宋体"/>
          <w:iCs/>
          <w:sz w:val="24"/>
          <w:szCs w:val="24"/>
          <w:highlight w:val="none"/>
        </w:rPr>
      </w:pPr>
      <w:r>
        <w:rPr>
          <w:rFonts w:hint="eastAsia" w:ascii="仿宋_GB2312" w:hAnsi="宋体"/>
          <w:iCs/>
          <w:sz w:val="24"/>
          <w:szCs w:val="24"/>
          <w:highlight w:val="none"/>
        </w:rPr>
        <w:t>1、本合同所称不可抗力是指不能预见、不能克服、不能避免并对一方当事人造成重大影响的客观事件，包括但不限于自然灾害如洪水、地震、火灾、风暴及社会事件如动乱、政府行为、突发公共卫生事件等。</w:t>
      </w:r>
    </w:p>
    <w:p w14:paraId="64DBBCFB">
      <w:pPr>
        <w:spacing w:line="440" w:lineRule="exact"/>
        <w:ind w:firstLine="480" w:firstLineChars="200"/>
        <w:jc w:val="both"/>
        <w:rPr>
          <w:rFonts w:ascii="仿宋_GB2312" w:hAnsi="宋体"/>
          <w:b/>
          <w:sz w:val="24"/>
          <w:szCs w:val="24"/>
          <w:highlight w:val="none"/>
        </w:rPr>
      </w:pPr>
      <w:r>
        <w:rPr>
          <w:rFonts w:hint="eastAsia" w:ascii="仿宋_GB2312" w:hAnsi="宋体"/>
          <w:iCs/>
          <w:sz w:val="24"/>
          <w:szCs w:val="24"/>
          <w:highlight w:val="none"/>
        </w:rPr>
        <w:t>2、在本合同有效期内，如发生不可抗力事件导致本合同无法履行时，当事方应在事件发生后五日内提供该事件原因和合</w:t>
      </w:r>
      <w:r>
        <w:rPr>
          <w:rFonts w:hint="eastAsia" w:ascii="仿宋_GB2312" w:hAnsi="宋体"/>
          <w:sz w:val="24"/>
          <w:szCs w:val="24"/>
          <w:highlight w:val="none"/>
        </w:rPr>
        <w:t>同无法履行或延迟履行的有效证明，双方认可后协商终止或延迟合同履行，遭受不可抗力一方应采取有效措施防止损失扩大，否则，应就扩大的损失向对方支付赔偿金。任何一方都不对不可抗力事件造成的延误或损失承担责任。</w:t>
      </w:r>
    </w:p>
    <w:p w14:paraId="661721EA">
      <w:pPr>
        <w:spacing w:line="440" w:lineRule="exact"/>
        <w:ind w:firstLine="482" w:firstLineChars="200"/>
        <w:jc w:val="both"/>
        <w:rPr>
          <w:rFonts w:ascii="仿宋_GB2312" w:hAnsi="宋体"/>
          <w:b/>
          <w:sz w:val="24"/>
          <w:szCs w:val="24"/>
          <w:highlight w:val="none"/>
        </w:rPr>
      </w:pPr>
      <w:r>
        <w:rPr>
          <w:rFonts w:hint="eastAsia" w:ascii="仿宋_GB2312" w:hAnsi="宋体"/>
          <w:b/>
          <w:sz w:val="24"/>
          <w:szCs w:val="24"/>
          <w:highlight w:val="none"/>
        </w:rPr>
        <w:t>十七、合同期限</w:t>
      </w:r>
    </w:p>
    <w:p w14:paraId="578C9DAD">
      <w:pPr>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1、本合同有效期为一年，自双方签字盖章之日起算。其他条款另有约定的，按其他条款执行。</w:t>
      </w:r>
    </w:p>
    <w:p w14:paraId="728B8CC0">
      <w:pPr>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2、本合同有效期内乙方向甲方出具评级报告且甲方用于发行债务融资工具的，则合同有效期顺延至甲方债务融资工具兑付之时。</w:t>
      </w:r>
    </w:p>
    <w:p w14:paraId="58BFBD2D">
      <w:pPr>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3、本合同有效期内非乙方原因导致乙方未向甲方出具评级报告的，有效期届满时或者甲方要求乙方不再出具评级报告的书面通知送达乙方时（以孰早者为准），本合同自动终止。</w:t>
      </w:r>
    </w:p>
    <w:p w14:paraId="48FE4DDA">
      <w:pPr>
        <w:spacing w:line="440" w:lineRule="exact"/>
        <w:ind w:firstLine="482" w:firstLineChars="200"/>
        <w:jc w:val="both"/>
        <w:rPr>
          <w:rFonts w:ascii="仿宋_GB2312" w:hAnsi="宋体"/>
          <w:b/>
          <w:sz w:val="24"/>
          <w:szCs w:val="24"/>
          <w:highlight w:val="none"/>
        </w:rPr>
      </w:pPr>
      <w:r>
        <w:rPr>
          <w:rFonts w:hint="eastAsia" w:ascii="仿宋_GB2312" w:hAnsi="宋体"/>
          <w:b/>
          <w:sz w:val="24"/>
          <w:szCs w:val="24"/>
          <w:highlight w:val="none"/>
        </w:rPr>
        <w:t>十八、合同的变更与解除</w:t>
      </w:r>
    </w:p>
    <w:p w14:paraId="3D89017E">
      <w:pPr>
        <w:snapToGrid w:val="0"/>
        <w:spacing w:line="440" w:lineRule="exact"/>
        <w:ind w:firstLine="480" w:firstLineChars="200"/>
        <w:jc w:val="both"/>
        <w:rPr>
          <w:rFonts w:ascii="仿宋_GB2312" w:hAnsi="宋体"/>
          <w:sz w:val="24"/>
          <w:szCs w:val="24"/>
          <w:highlight w:val="none"/>
        </w:rPr>
      </w:pPr>
      <w:r>
        <w:rPr>
          <w:rFonts w:hint="eastAsia" w:ascii="仿宋_GB2312" w:hAnsi="宋体"/>
          <w:bCs/>
          <w:sz w:val="24"/>
          <w:szCs w:val="24"/>
          <w:highlight w:val="none"/>
        </w:rPr>
        <w:t>1</w:t>
      </w:r>
      <w:r>
        <w:rPr>
          <w:rFonts w:hint="eastAsia" w:ascii="仿宋_GB2312" w:hAnsi="宋体"/>
          <w:sz w:val="24"/>
          <w:szCs w:val="24"/>
          <w:highlight w:val="none"/>
        </w:rPr>
        <w:t>、未经双方协商一致，任何一方均不得擅自修改本合同的全部或部分条款。</w:t>
      </w:r>
    </w:p>
    <w:p w14:paraId="7D984C99">
      <w:pPr>
        <w:snapToGrid w:val="0"/>
        <w:spacing w:line="440" w:lineRule="exact"/>
        <w:ind w:firstLine="480" w:firstLineChars="200"/>
        <w:jc w:val="both"/>
        <w:rPr>
          <w:rFonts w:ascii="仿宋_GB2312" w:hAnsi="宋体"/>
          <w:sz w:val="24"/>
          <w:szCs w:val="24"/>
          <w:highlight w:val="none"/>
        </w:rPr>
      </w:pPr>
      <w:r>
        <w:rPr>
          <w:rFonts w:hint="eastAsia" w:ascii="仿宋_GB2312" w:hAnsi="宋体"/>
          <w:color w:val="000000"/>
          <w:sz w:val="24"/>
          <w:szCs w:val="24"/>
          <w:highlight w:val="none"/>
        </w:rPr>
        <w:t>2、本合同签订后，双方应当按约履行，不得无故解除。如遇法定情形或特殊原因确需解除的，提出解除的一方应提前通知另一方，并由双方协商解决。在协商解除本合同的情况下，乙方有权就本合同解除之日前对约定事项所付出的劳动收取合理的费用。</w:t>
      </w:r>
    </w:p>
    <w:p w14:paraId="373E7EBB">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3、乙方出具正式评级报告后，任何一方不得要求解除本合同。</w:t>
      </w:r>
    </w:p>
    <w:p w14:paraId="359133EA">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4、一方违约，经守约方通知后未在三十日内纠正违约事实，守约方有权通知对方解除合同。</w:t>
      </w:r>
    </w:p>
    <w:p w14:paraId="6B0CC418">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5、乙方对甲方及债务融资工具发行人提供的材料（包括但不限于甲方及债务融资工具发行人聘请的承销商、会计师等中介机构及其签字人员出具的专业意见）的合法性、真实性、准确性、完整性及有效性存有疑义，甲方及债务融资工具发行人聘请的中介机构无法做出合理解释或者进行调整的，乙方有权要求解除合同。</w:t>
      </w:r>
    </w:p>
    <w:p w14:paraId="1C914B8D">
      <w:pPr>
        <w:snapToGrid w:val="0"/>
        <w:spacing w:line="440" w:lineRule="exact"/>
        <w:ind w:firstLine="482" w:firstLineChars="200"/>
        <w:rPr>
          <w:rFonts w:ascii="仿宋_GB2312" w:hAnsi="宋体"/>
          <w:b/>
          <w:sz w:val="24"/>
          <w:szCs w:val="24"/>
          <w:highlight w:val="none"/>
        </w:rPr>
      </w:pPr>
      <w:r>
        <w:rPr>
          <w:rFonts w:hint="eastAsia" w:ascii="仿宋_GB2312" w:hAnsi="宋体"/>
          <w:b/>
          <w:sz w:val="24"/>
          <w:szCs w:val="24"/>
          <w:highlight w:val="none"/>
        </w:rPr>
        <w:t>十九、违约责任</w:t>
      </w:r>
    </w:p>
    <w:p w14:paraId="4575852F">
      <w:pPr>
        <w:spacing w:line="440" w:lineRule="exact"/>
        <w:ind w:firstLine="480" w:firstLineChars="200"/>
        <w:jc w:val="both"/>
        <w:rPr>
          <w:rFonts w:ascii="仿宋_GB2312" w:hAnsi="宋体" w:cs="Arial"/>
          <w:sz w:val="24"/>
          <w:szCs w:val="24"/>
          <w:highlight w:val="none"/>
        </w:rPr>
      </w:pPr>
      <w:r>
        <w:rPr>
          <w:rFonts w:hint="eastAsia" w:ascii="仿宋_GB2312" w:hAnsi="宋体" w:cs="Arial"/>
          <w:sz w:val="24"/>
          <w:szCs w:val="24"/>
          <w:highlight w:val="none"/>
        </w:rPr>
        <w:t>1、</w:t>
      </w:r>
      <w:bookmarkStart w:id="91" w:name="tip_risk_bookmark_8"/>
      <w:r>
        <w:rPr>
          <w:rFonts w:hint="eastAsia" w:ascii="仿宋_GB2312" w:hAnsi="宋体" w:cs="Arial"/>
          <w:sz w:val="24"/>
          <w:szCs w:val="24"/>
          <w:highlight w:val="none"/>
        </w:rPr>
        <w:t>因乙方原因未按本合同约定向甲方提交评级报告（包括首次评级报告和跟踪评级报告），甲方给予乙方一定的宽限期，宽限期结束后仍因乙方原因无法出具评级报告的，乙方应向甲方支付合同总评级费用的5%作为违约金，且甲方有权解除本合同并要求乙方退还已收取的评级费用。</w:t>
      </w:r>
      <w:bookmarkEnd w:id="91"/>
    </w:p>
    <w:p w14:paraId="5943FBAF">
      <w:pPr>
        <w:spacing w:line="440" w:lineRule="exact"/>
        <w:ind w:firstLine="480" w:firstLineChars="200"/>
        <w:jc w:val="both"/>
        <w:rPr>
          <w:rFonts w:ascii="仿宋_GB2312" w:hAnsi="宋体" w:cs="Arial"/>
          <w:sz w:val="24"/>
          <w:szCs w:val="24"/>
          <w:highlight w:val="none"/>
        </w:rPr>
      </w:pPr>
      <w:r>
        <w:rPr>
          <w:rFonts w:hint="eastAsia" w:ascii="仿宋_GB2312" w:hAnsi="宋体" w:cs="Arial"/>
          <w:sz w:val="24"/>
          <w:szCs w:val="24"/>
          <w:highlight w:val="none"/>
        </w:rPr>
        <w:t>2、</w:t>
      </w:r>
      <w:bookmarkStart w:id="92" w:name="auto_fouce_9"/>
      <w:r>
        <w:rPr>
          <w:rFonts w:hint="eastAsia" w:ascii="仿宋_GB2312" w:hAnsi="宋体" w:cs="Arial"/>
          <w:sz w:val="24"/>
          <w:szCs w:val="24"/>
          <w:highlight w:val="none"/>
        </w:rPr>
        <w:t>因甲方原因致使乙方未能按照本合同约定完成评级工作，乙方不承担违约责任，已收取的评级费用不予退还。</w:t>
      </w:r>
      <w:bookmarkEnd w:id="92"/>
    </w:p>
    <w:p w14:paraId="51176D97">
      <w:pPr>
        <w:spacing w:line="440" w:lineRule="exact"/>
        <w:ind w:firstLine="480" w:firstLineChars="200"/>
        <w:jc w:val="both"/>
        <w:rPr>
          <w:rFonts w:ascii="仿宋_GB2312" w:hAnsi="宋体" w:cs="Arial"/>
          <w:sz w:val="24"/>
          <w:szCs w:val="24"/>
          <w:highlight w:val="none"/>
        </w:rPr>
      </w:pPr>
      <w:r>
        <w:rPr>
          <w:rFonts w:hint="eastAsia" w:ascii="仿宋_GB2312" w:hAnsi="宋体" w:cs="Arial"/>
          <w:sz w:val="24"/>
          <w:szCs w:val="24"/>
          <w:highlight w:val="none"/>
        </w:rPr>
        <w:t>3、如甲方未能按本合同约定及时向乙方支付评级费用，乙方给予甲方</w:t>
      </w:r>
      <w:r>
        <w:rPr>
          <w:rFonts w:hint="eastAsia" w:ascii="仿宋_GB2312" w:hAnsi="宋体" w:cs="Arial"/>
          <w:sz w:val="24"/>
          <w:szCs w:val="24"/>
          <w:highlight w:val="none"/>
          <w:u w:val="single"/>
        </w:rPr>
        <w:t>一定</w:t>
      </w:r>
      <w:r>
        <w:rPr>
          <w:rFonts w:hint="eastAsia" w:ascii="仿宋_GB2312" w:hAnsi="宋体" w:cs="Arial"/>
          <w:sz w:val="24"/>
          <w:szCs w:val="24"/>
          <w:highlight w:val="none"/>
        </w:rPr>
        <w:t>的宽限期，宽限期结束后仍因甲方原因未支付评级费用的，甲方应向乙方支付逾期金额的5%作为违约金，且甲方应继续履行评级费用支付义务。</w:t>
      </w:r>
    </w:p>
    <w:p w14:paraId="29EABCF9">
      <w:pPr>
        <w:snapToGrid w:val="0"/>
        <w:spacing w:line="440" w:lineRule="exact"/>
        <w:ind w:firstLine="480" w:firstLineChars="200"/>
        <w:jc w:val="both"/>
        <w:rPr>
          <w:rFonts w:ascii="仿宋_GB2312" w:hAnsi="宋体"/>
          <w:iCs/>
          <w:sz w:val="24"/>
          <w:szCs w:val="24"/>
          <w:highlight w:val="none"/>
        </w:rPr>
      </w:pPr>
      <w:r>
        <w:rPr>
          <w:rFonts w:hint="eastAsia" w:ascii="仿宋_GB2312" w:hAnsi="宋体" w:cs="Arial"/>
          <w:sz w:val="24"/>
          <w:szCs w:val="24"/>
          <w:highlight w:val="none"/>
        </w:rPr>
        <w:t>4</w:t>
      </w:r>
      <w:r>
        <w:rPr>
          <w:rFonts w:hint="eastAsia" w:ascii="仿宋_GB2312" w:hAnsi="宋体"/>
          <w:iCs/>
          <w:sz w:val="24"/>
          <w:szCs w:val="24"/>
          <w:highlight w:val="none"/>
        </w:rPr>
        <w:t>、若因任何一方违反合同约定导致另一方和/或另一方工作人员受到任何形式的处罚（包括但不限于中国人民银行、中国证券监督管理委员会及其他监管部门作出的行政处罚、行政监管措施，自律组织作出的自律监管措施等）、损失或导致第三人向另一方和/或另一方工作人员索赔的，则违约方应全额赔偿另一方和/或另一方工作人员由此发生的损失，且该赔偿义务不因本合同的终止或解除而免除，同时，乙方有权终止或撤销评级。</w:t>
      </w:r>
    </w:p>
    <w:p w14:paraId="2775A4F2">
      <w:pPr>
        <w:snapToGrid w:val="0"/>
        <w:spacing w:line="440" w:lineRule="exact"/>
        <w:ind w:firstLine="482" w:firstLineChars="200"/>
        <w:rPr>
          <w:rFonts w:ascii="仿宋_GB2312" w:hAnsi="宋体"/>
          <w:b/>
          <w:sz w:val="24"/>
          <w:szCs w:val="24"/>
          <w:highlight w:val="none"/>
        </w:rPr>
      </w:pPr>
      <w:r>
        <w:rPr>
          <w:rFonts w:hint="eastAsia" w:ascii="仿宋_GB2312" w:hAnsi="宋体"/>
          <w:b/>
          <w:sz w:val="24"/>
          <w:szCs w:val="24"/>
          <w:highlight w:val="none"/>
        </w:rPr>
        <w:t>二十、争议解决</w:t>
      </w:r>
    </w:p>
    <w:p w14:paraId="7BBCD46D">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1、本合同适用中华人民共和国法律，并依照相关法律法规进行解释。</w:t>
      </w:r>
    </w:p>
    <w:p w14:paraId="5C3F5B79">
      <w:pP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s>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2、在履行本合同过程中发生的争议，双方应友好协商解决，协商不成，双方同意向被告方所在地人民法院提起诉讼。</w:t>
      </w:r>
    </w:p>
    <w:p w14:paraId="47778DB3">
      <w:pPr>
        <w:snapToGrid w:val="0"/>
        <w:spacing w:line="440" w:lineRule="exact"/>
        <w:ind w:firstLine="482" w:firstLineChars="200"/>
        <w:rPr>
          <w:rFonts w:ascii="仿宋_GB2312" w:hAnsi="宋体"/>
          <w:b/>
          <w:sz w:val="24"/>
          <w:szCs w:val="24"/>
          <w:highlight w:val="none"/>
        </w:rPr>
      </w:pPr>
      <w:r>
        <w:rPr>
          <w:rFonts w:hint="eastAsia" w:ascii="仿宋_GB2312" w:hAnsi="宋体"/>
          <w:b/>
          <w:sz w:val="24"/>
          <w:szCs w:val="24"/>
          <w:highlight w:val="none"/>
        </w:rPr>
        <w:t>二十一、通知</w:t>
      </w:r>
    </w:p>
    <w:p w14:paraId="556E42D9">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1、双方确认以下列明的通讯地址及联系人名片所列电子邮箱地址为有效的通讯地址，如依该地址发送文书或资料，无论是否实际收件，均视为送达，造成延误的，由收件方自行负责。</w:t>
      </w:r>
    </w:p>
    <w:p w14:paraId="62F035B2">
      <w:pPr>
        <w:snapToGrid w:val="0"/>
        <w:spacing w:line="440" w:lineRule="exact"/>
        <w:ind w:firstLine="480" w:firstLineChars="200"/>
        <w:rPr>
          <w:rFonts w:ascii="仿宋_GB2312" w:hAnsi="宋体"/>
          <w:sz w:val="24"/>
          <w:szCs w:val="24"/>
          <w:highlight w:val="none"/>
        </w:rPr>
      </w:pPr>
      <w:r>
        <w:rPr>
          <w:rFonts w:hint="eastAsia" w:ascii="仿宋_GB2312" w:hAnsi="宋体"/>
          <w:sz w:val="24"/>
          <w:szCs w:val="24"/>
          <w:highlight w:val="none"/>
        </w:rPr>
        <w:t xml:space="preserve">甲方联系人： </w:t>
      </w:r>
    </w:p>
    <w:p w14:paraId="58FECCEB">
      <w:pPr>
        <w:snapToGrid w:val="0"/>
        <w:spacing w:line="440" w:lineRule="exact"/>
        <w:ind w:firstLine="480" w:firstLineChars="200"/>
        <w:rPr>
          <w:rFonts w:ascii="仿宋_GB2312" w:hAnsi="宋体"/>
          <w:sz w:val="24"/>
          <w:szCs w:val="24"/>
          <w:highlight w:val="none"/>
        </w:rPr>
      </w:pPr>
      <w:r>
        <w:rPr>
          <w:rFonts w:hint="eastAsia" w:ascii="仿宋_GB2312" w:hAnsi="宋体"/>
          <w:sz w:val="24"/>
          <w:szCs w:val="24"/>
          <w:highlight w:val="none"/>
        </w:rPr>
        <w:t>电话：</w:t>
      </w:r>
    </w:p>
    <w:p w14:paraId="3AC9565F">
      <w:pPr>
        <w:snapToGrid w:val="0"/>
        <w:spacing w:line="440" w:lineRule="exact"/>
        <w:ind w:firstLine="480" w:firstLineChars="200"/>
        <w:rPr>
          <w:rFonts w:ascii="仿宋_GB2312" w:hAnsi="宋体"/>
          <w:sz w:val="24"/>
          <w:szCs w:val="24"/>
          <w:highlight w:val="none"/>
        </w:rPr>
      </w:pPr>
      <w:r>
        <w:rPr>
          <w:rFonts w:hint="eastAsia" w:ascii="仿宋_GB2312" w:hAnsi="宋体"/>
          <w:sz w:val="24"/>
          <w:szCs w:val="24"/>
          <w:highlight w:val="none"/>
        </w:rPr>
        <w:t>电子邮箱：</w:t>
      </w:r>
    </w:p>
    <w:p w14:paraId="7B242291">
      <w:pPr>
        <w:snapToGrid w:val="0"/>
        <w:spacing w:line="440" w:lineRule="exact"/>
        <w:ind w:firstLine="480" w:firstLineChars="200"/>
        <w:rPr>
          <w:rFonts w:ascii="仿宋_GB2312" w:hAnsi="宋体"/>
          <w:sz w:val="24"/>
          <w:szCs w:val="24"/>
          <w:highlight w:val="none"/>
        </w:rPr>
      </w:pPr>
      <w:r>
        <w:rPr>
          <w:rFonts w:hint="eastAsia" w:ascii="仿宋_GB2312" w:hAnsi="宋体"/>
          <w:sz w:val="24"/>
          <w:szCs w:val="24"/>
          <w:highlight w:val="none"/>
        </w:rPr>
        <w:t xml:space="preserve">通讯地址： </w:t>
      </w:r>
    </w:p>
    <w:p w14:paraId="428F0473">
      <w:pPr>
        <w:snapToGrid w:val="0"/>
        <w:spacing w:line="440" w:lineRule="exact"/>
        <w:ind w:firstLine="480" w:firstLineChars="200"/>
        <w:rPr>
          <w:rFonts w:ascii="仿宋_GB2312" w:hAnsi="宋体"/>
          <w:sz w:val="24"/>
          <w:szCs w:val="24"/>
          <w:highlight w:val="none"/>
        </w:rPr>
      </w:pPr>
    </w:p>
    <w:p w14:paraId="1801CD9D">
      <w:pPr>
        <w:snapToGrid w:val="0"/>
        <w:spacing w:line="440" w:lineRule="exact"/>
        <w:ind w:firstLine="480" w:firstLineChars="200"/>
        <w:rPr>
          <w:rFonts w:ascii="仿宋_GB2312" w:hAnsi="宋体"/>
          <w:sz w:val="24"/>
          <w:szCs w:val="24"/>
          <w:highlight w:val="none"/>
        </w:rPr>
      </w:pPr>
      <w:r>
        <w:rPr>
          <w:rFonts w:hint="eastAsia" w:ascii="仿宋_GB2312" w:hAnsi="宋体"/>
          <w:sz w:val="24"/>
          <w:szCs w:val="24"/>
          <w:highlight w:val="none"/>
        </w:rPr>
        <w:t>乙方联系人：</w:t>
      </w:r>
    </w:p>
    <w:p w14:paraId="00EA5704">
      <w:pPr>
        <w:snapToGrid w:val="0"/>
        <w:spacing w:line="440" w:lineRule="exact"/>
        <w:ind w:firstLine="480" w:firstLineChars="200"/>
        <w:rPr>
          <w:rFonts w:ascii="仿宋_GB2312" w:hAnsi="宋体"/>
          <w:sz w:val="24"/>
          <w:szCs w:val="24"/>
          <w:highlight w:val="none"/>
        </w:rPr>
      </w:pPr>
      <w:r>
        <w:rPr>
          <w:rFonts w:hint="eastAsia" w:ascii="仿宋_GB2312" w:hAnsi="宋体"/>
          <w:sz w:val="24"/>
          <w:szCs w:val="24"/>
          <w:highlight w:val="none"/>
        </w:rPr>
        <w:t>电话：</w:t>
      </w:r>
    </w:p>
    <w:p w14:paraId="35A49C18">
      <w:pPr>
        <w:snapToGrid w:val="0"/>
        <w:spacing w:line="440" w:lineRule="exact"/>
        <w:ind w:firstLine="480" w:firstLineChars="200"/>
        <w:rPr>
          <w:rFonts w:ascii="仿宋_GB2312" w:hAnsi="宋体"/>
          <w:sz w:val="24"/>
          <w:szCs w:val="24"/>
          <w:highlight w:val="none"/>
        </w:rPr>
      </w:pPr>
      <w:r>
        <w:rPr>
          <w:rFonts w:hint="eastAsia" w:ascii="仿宋_GB2312" w:hAnsi="宋体"/>
          <w:sz w:val="24"/>
          <w:szCs w:val="24"/>
          <w:highlight w:val="none"/>
        </w:rPr>
        <w:t>电子邮箱：</w:t>
      </w:r>
    </w:p>
    <w:p w14:paraId="2E0A5330">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通讯地址：</w:t>
      </w:r>
    </w:p>
    <w:p w14:paraId="1A7B9020">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2、评级过程中双方应确定评级工作对接人员，甲方应依据乙方的要求将评级材料发送到乙方指定的工作人员邮箱，乙方应将评级报告的电子版发送至甲方指定的工作人员邮箱。</w:t>
      </w:r>
    </w:p>
    <w:p w14:paraId="6C2B16C2">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甲方认可以乙方官方邮箱（）向甲方发送的邮件均视为乙方行为。</w:t>
      </w:r>
    </w:p>
    <w:p w14:paraId="4E3B3556">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3、任何一方在本合同项下发出的通知或文件：(1)采用亲自或委托递交的以被通知方或其法定代表人、负责人、联系人、收件代理人签收之日为送达日期；(2)采用邮政特快专递或同城(包括市区与郊区)挂号邮件进行邮递的则以邮件寄出之日后的第3日为送达日期；(3)以其他邮寄方式发出则以寄出之日后的第7日为送达日期；（4）以电子邮件等电子方式发出的，以有关信息进入本合同约定的电子邮箱系统之日为送达日期，或以发送方该等信息未能进入前述电子邮箱系统之日视为送达的送达日期。</w:t>
      </w:r>
    </w:p>
    <w:p w14:paraId="236C8641">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依照上述约定而确定的送达日期与被通知方实际收到的日期或正式签收日期不一致时，以其中最早的日期为准。</w:t>
      </w:r>
    </w:p>
    <w:p w14:paraId="6C246E85">
      <w:pPr>
        <w:snapToGrid w:val="0"/>
        <w:spacing w:line="440" w:lineRule="exact"/>
        <w:ind w:firstLine="480" w:firstLineChars="200"/>
        <w:jc w:val="both"/>
        <w:rPr>
          <w:rFonts w:ascii="仿宋_GB2312" w:hAnsi="宋体"/>
          <w:sz w:val="24"/>
          <w:szCs w:val="24"/>
          <w:highlight w:val="none"/>
        </w:rPr>
      </w:pPr>
      <w:r>
        <w:rPr>
          <w:rFonts w:hint="eastAsia" w:ascii="仿宋_GB2312" w:hAnsi="宋体"/>
          <w:sz w:val="24"/>
          <w:szCs w:val="24"/>
          <w:highlight w:val="none"/>
        </w:rPr>
        <w:t>4、本合同有效期内，任何一方联系方式发生变更时，变更方应在两日内通知另一方，逾期未通知的，由变更方承担因未及时通知而造成的所有责任。</w:t>
      </w:r>
    </w:p>
    <w:p w14:paraId="570DC6E5">
      <w:pPr>
        <w:snapToGrid w:val="0"/>
        <w:spacing w:line="440" w:lineRule="exact"/>
        <w:ind w:firstLine="482" w:firstLineChars="200"/>
        <w:jc w:val="both"/>
        <w:rPr>
          <w:rFonts w:ascii="仿宋_GB2312" w:hAnsi="宋体"/>
          <w:b/>
          <w:sz w:val="24"/>
          <w:szCs w:val="24"/>
          <w:highlight w:val="none"/>
        </w:rPr>
      </w:pPr>
      <w:r>
        <w:rPr>
          <w:rFonts w:hint="eastAsia" w:ascii="仿宋_GB2312" w:hAnsi="宋体"/>
          <w:b/>
          <w:sz w:val="24"/>
          <w:szCs w:val="24"/>
          <w:highlight w:val="none"/>
        </w:rPr>
        <w:t>二十二、其他</w:t>
      </w:r>
    </w:p>
    <w:p w14:paraId="58E9C53F">
      <w:pPr>
        <w:snapToGrid w:val="0"/>
        <w:spacing w:line="440" w:lineRule="exact"/>
        <w:ind w:firstLine="480" w:firstLineChars="200"/>
        <w:jc w:val="both"/>
        <w:rPr>
          <w:rFonts w:ascii="仿宋_GB2312" w:hAnsi="宋体"/>
          <w:bCs/>
          <w:sz w:val="24"/>
          <w:szCs w:val="24"/>
          <w:highlight w:val="none"/>
        </w:rPr>
      </w:pPr>
      <w:r>
        <w:rPr>
          <w:rFonts w:hint="eastAsia" w:ascii="仿宋_GB2312" w:hAnsi="宋体"/>
          <w:bCs/>
          <w:sz w:val="24"/>
          <w:szCs w:val="24"/>
          <w:highlight w:val="none"/>
        </w:rPr>
        <w:t>1、甲方确认，在签署本合同时已收到乙方发送的《利益冲突管理规定告知书》（附件一）、《廉洁从业告知书》（附件二），并已知晓监管机构关于利益冲突管理、乙方有关廉洁从业和重大事项告知的规定。</w:t>
      </w:r>
    </w:p>
    <w:p w14:paraId="39A01E89">
      <w:pPr>
        <w:spacing w:line="440" w:lineRule="exact"/>
        <w:ind w:firstLine="480" w:firstLineChars="200"/>
        <w:jc w:val="both"/>
        <w:rPr>
          <w:rFonts w:ascii="仿宋_GB2312" w:hAnsi="宋体"/>
          <w:iCs/>
          <w:sz w:val="24"/>
          <w:szCs w:val="24"/>
          <w:highlight w:val="none"/>
        </w:rPr>
      </w:pPr>
      <w:r>
        <w:rPr>
          <w:rFonts w:hint="eastAsia" w:ascii="仿宋_GB2312" w:hAnsi="宋体"/>
          <w:iCs/>
          <w:sz w:val="24"/>
          <w:szCs w:val="24"/>
          <w:highlight w:val="none"/>
        </w:rPr>
        <w:t>2、本合同与监管规定（包括其后续修订）不一致的，以监管规定（包括其后续修订）为准。</w:t>
      </w:r>
    </w:p>
    <w:p w14:paraId="4A4194E3">
      <w:pPr>
        <w:spacing w:line="440" w:lineRule="exact"/>
        <w:ind w:firstLine="480" w:firstLineChars="200"/>
        <w:jc w:val="both"/>
        <w:rPr>
          <w:rFonts w:ascii="仿宋_GB2312" w:hAnsi="宋体"/>
          <w:iCs/>
          <w:sz w:val="24"/>
          <w:szCs w:val="24"/>
          <w:highlight w:val="none"/>
        </w:rPr>
      </w:pPr>
      <w:r>
        <w:rPr>
          <w:rFonts w:hint="eastAsia" w:ascii="仿宋_GB2312" w:hAnsi="宋体"/>
          <w:iCs/>
          <w:sz w:val="24"/>
          <w:szCs w:val="24"/>
          <w:highlight w:val="none"/>
        </w:rPr>
        <w:t>3、本合同任何条款无效或不可执行均不影响其他条款的有效性和可执行性，也不影响本合同的效力。</w:t>
      </w:r>
    </w:p>
    <w:p w14:paraId="4FC66900">
      <w:pPr>
        <w:snapToGrid w:val="0"/>
        <w:spacing w:line="440" w:lineRule="exact"/>
        <w:ind w:firstLine="480" w:firstLineChars="200"/>
        <w:jc w:val="both"/>
        <w:rPr>
          <w:rFonts w:ascii="仿宋_GB2312" w:hAnsi="宋体"/>
          <w:sz w:val="24"/>
          <w:szCs w:val="24"/>
          <w:highlight w:val="none"/>
        </w:rPr>
      </w:pPr>
      <w:r>
        <w:rPr>
          <w:rFonts w:hint="eastAsia" w:ascii="仿宋_GB2312" w:hAnsi="宋体"/>
          <w:bCs/>
          <w:sz w:val="24"/>
          <w:szCs w:val="24"/>
          <w:highlight w:val="none"/>
        </w:rPr>
        <w:t>4、</w:t>
      </w:r>
      <w:r>
        <w:rPr>
          <w:rFonts w:hint="eastAsia" w:ascii="仿宋_GB2312" w:hAnsi="宋体"/>
          <w:iCs/>
          <w:sz w:val="24"/>
          <w:szCs w:val="24"/>
          <w:highlight w:val="none"/>
        </w:rPr>
        <w:t>本合同经双方法定代表人或授权代表签字或盖章并加盖公章或合同专用章后生效，</w:t>
      </w:r>
      <w:r>
        <w:rPr>
          <w:rFonts w:hint="eastAsia" w:ascii="仿宋_GB2312" w:hAnsi="宋体"/>
          <w:sz w:val="24"/>
          <w:szCs w:val="24"/>
          <w:highlight w:val="none"/>
        </w:rPr>
        <w:t>一式</w:t>
      </w:r>
      <w:r>
        <w:rPr>
          <w:rFonts w:hint="eastAsia" w:ascii="仿宋_GB2312" w:hAnsi="宋体"/>
          <w:sz w:val="24"/>
          <w:szCs w:val="24"/>
          <w:highlight w:val="none"/>
          <w:u w:val="single"/>
        </w:rPr>
        <w:t xml:space="preserve"> 贰 </w:t>
      </w:r>
      <w:r>
        <w:rPr>
          <w:rFonts w:hint="eastAsia" w:ascii="仿宋_GB2312" w:hAnsi="宋体"/>
          <w:sz w:val="24"/>
          <w:szCs w:val="24"/>
          <w:highlight w:val="none"/>
        </w:rPr>
        <w:t>份，双方各执</w:t>
      </w:r>
      <w:r>
        <w:rPr>
          <w:rFonts w:hint="eastAsia" w:ascii="仿宋_GB2312" w:hAnsi="宋体"/>
          <w:sz w:val="24"/>
          <w:szCs w:val="24"/>
          <w:highlight w:val="none"/>
          <w:u w:val="single"/>
        </w:rPr>
        <w:t xml:space="preserve">壹 </w:t>
      </w:r>
      <w:r>
        <w:rPr>
          <w:rFonts w:hint="eastAsia" w:ascii="仿宋_GB2312" w:hAnsi="宋体"/>
          <w:sz w:val="24"/>
          <w:szCs w:val="24"/>
          <w:highlight w:val="none"/>
        </w:rPr>
        <w:t>份，具有同等法律效力。</w:t>
      </w:r>
    </w:p>
    <w:p w14:paraId="770AA4AC">
      <w:pPr>
        <w:snapToGrid w:val="0"/>
        <w:spacing w:line="440" w:lineRule="exact"/>
        <w:ind w:firstLine="480" w:firstLineChars="200"/>
        <w:jc w:val="both"/>
        <w:rPr>
          <w:rFonts w:ascii="仿宋_GB2312" w:hAnsi="宋体"/>
          <w:bCs/>
          <w:sz w:val="24"/>
          <w:szCs w:val="24"/>
          <w:highlight w:val="none"/>
        </w:rPr>
      </w:pPr>
      <w:r>
        <w:rPr>
          <w:rFonts w:hint="eastAsia" w:ascii="仿宋_GB2312" w:hAnsi="宋体"/>
          <w:bCs/>
          <w:sz w:val="24"/>
          <w:szCs w:val="24"/>
          <w:highlight w:val="none"/>
        </w:rPr>
        <w:t>(以下无正文)</w:t>
      </w:r>
    </w:p>
    <w:p w14:paraId="651FE34B">
      <w:pPr>
        <w:tabs>
          <w:tab w:val="left" w:pos="840"/>
          <w:tab w:val="left" w:pos="1960"/>
          <w:tab w:val="left" w:pos="4140"/>
          <w:tab w:val="left" w:pos="4305"/>
          <w:tab w:val="left" w:pos="4680"/>
        </w:tabs>
        <w:spacing w:after="130" w:afterLines="30" w:line="440" w:lineRule="exact"/>
        <w:ind w:left="4652" w:leftChars="150" w:hanging="4337" w:hangingChars="1800"/>
        <w:rPr>
          <w:rFonts w:ascii="仿宋_GB2312" w:hAnsi="宋体"/>
          <w:b/>
          <w:bCs/>
          <w:sz w:val="24"/>
          <w:szCs w:val="24"/>
          <w:highlight w:val="none"/>
        </w:rPr>
      </w:pPr>
    </w:p>
    <w:p w14:paraId="75D62B2B">
      <w:pPr>
        <w:spacing w:line="440" w:lineRule="exact"/>
        <w:ind w:firstLine="482" w:firstLineChars="200"/>
        <w:jc w:val="both"/>
        <w:rPr>
          <w:rFonts w:ascii="仿宋_GB2312" w:hAnsi="宋体"/>
          <w:b/>
          <w:bCs/>
          <w:sz w:val="24"/>
          <w:szCs w:val="24"/>
          <w:highlight w:val="none"/>
        </w:rPr>
      </w:pPr>
    </w:p>
    <w:p w14:paraId="6028626C">
      <w:pPr>
        <w:tabs>
          <w:tab w:val="left" w:pos="1820"/>
          <w:tab w:val="left" w:pos="4480"/>
          <w:tab w:val="left" w:pos="5740"/>
          <w:tab w:val="left" w:pos="6020"/>
          <w:tab w:val="left" w:pos="6300"/>
        </w:tabs>
        <w:spacing w:after="130" w:afterLines="30" w:line="440" w:lineRule="exact"/>
        <w:rPr>
          <w:rFonts w:ascii="仿宋_GB2312" w:hAnsi="宋体"/>
          <w:b/>
          <w:bCs/>
          <w:sz w:val="24"/>
          <w:szCs w:val="24"/>
          <w:highlight w:val="none"/>
        </w:rPr>
      </w:pPr>
      <w:r>
        <w:rPr>
          <w:rFonts w:hint="eastAsia" w:ascii="仿宋_GB2312" w:hAnsi="宋体"/>
          <w:b/>
          <w:bCs/>
          <w:sz w:val="24"/>
          <w:szCs w:val="24"/>
          <w:highlight w:val="none"/>
        </w:rPr>
        <w:t>(本页无正文，为《资信评级合同书》之签署页)</w:t>
      </w:r>
    </w:p>
    <w:p w14:paraId="717EB902">
      <w:pPr>
        <w:tabs>
          <w:tab w:val="left" w:pos="1820"/>
          <w:tab w:val="left" w:pos="4480"/>
          <w:tab w:val="left" w:pos="5740"/>
          <w:tab w:val="left" w:pos="6020"/>
          <w:tab w:val="left" w:pos="6300"/>
        </w:tabs>
        <w:spacing w:after="130" w:afterLines="30" w:line="440" w:lineRule="exact"/>
        <w:rPr>
          <w:rFonts w:ascii="仿宋_GB2312" w:hAnsi="宋体"/>
          <w:b/>
          <w:bCs/>
          <w:sz w:val="24"/>
          <w:szCs w:val="24"/>
          <w:highlight w:val="none"/>
        </w:rPr>
      </w:pPr>
      <w:r>
        <w:rPr>
          <w:rFonts w:hint="eastAsia" w:ascii="仿宋_GB2312" w:hAnsi="宋体"/>
          <w:b/>
          <w:bCs/>
          <w:sz w:val="24"/>
          <w:szCs w:val="24"/>
          <w:highlight w:val="none"/>
        </w:rPr>
        <w:t>甲  方：</w:t>
      </w:r>
      <w:r>
        <w:rPr>
          <w:rFonts w:hint="eastAsia" w:ascii="仿宋_GB2312" w:hAnsi="宋体"/>
          <w:b/>
          <w:bCs/>
          <w:sz w:val="24"/>
          <w:szCs w:val="24"/>
          <w:highlight w:val="none"/>
          <w:lang w:val="en-US" w:eastAsia="zh-CN"/>
        </w:rPr>
        <w:t xml:space="preserve">                       </w:t>
      </w:r>
      <w:r>
        <w:rPr>
          <w:rFonts w:hint="eastAsia" w:ascii="仿宋_GB2312" w:hAnsi="宋体"/>
          <w:b/>
          <w:bCs/>
          <w:sz w:val="24"/>
          <w:szCs w:val="24"/>
          <w:highlight w:val="none"/>
        </w:rPr>
        <w:t xml:space="preserve">          乙  方：</w:t>
      </w:r>
    </w:p>
    <w:p w14:paraId="41AB0273">
      <w:pPr>
        <w:tabs>
          <w:tab w:val="left" w:pos="5370"/>
          <w:tab w:val="left" w:pos="5400"/>
        </w:tabs>
        <w:spacing w:after="130" w:afterLines="30" w:line="440" w:lineRule="exact"/>
        <w:rPr>
          <w:rFonts w:ascii="仿宋_GB2312" w:hAnsi="宋体"/>
          <w:b/>
          <w:bCs/>
          <w:sz w:val="24"/>
          <w:szCs w:val="24"/>
          <w:highlight w:val="none"/>
        </w:rPr>
      </w:pPr>
      <w:r>
        <w:rPr>
          <w:rFonts w:hint="eastAsia" w:ascii="仿宋_GB2312" w:hAnsi="宋体"/>
          <w:b/>
          <w:bCs/>
          <w:sz w:val="24"/>
          <w:szCs w:val="24"/>
          <w:highlight w:val="none"/>
        </w:rPr>
        <w:t xml:space="preserve">法定代表人或授权代表：        </w:t>
      </w:r>
      <w:r>
        <w:rPr>
          <w:rFonts w:ascii="仿宋_GB2312" w:hAnsi="宋体"/>
          <w:b/>
          <w:bCs/>
          <w:sz w:val="24"/>
          <w:szCs w:val="24"/>
          <w:highlight w:val="none"/>
        </w:rPr>
        <w:t xml:space="preserve">               </w:t>
      </w:r>
      <w:r>
        <w:rPr>
          <w:rFonts w:hint="eastAsia" w:ascii="仿宋_GB2312" w:hAnsi="宋体"/>
          <w:b/>
          <w:bCs/>
          <w:sz w:val="24"/>
          <w:szCs w:val="24"/>
          <w:highlight w:val="none"/>
        </w:rPr>
        <w:t xml:space="preserve"> 法定代表人或授权代表：</w:t>
      </w:r>
    </w:p>
    <w:p w14:paraId="2FD909CE">
      <w:pPr>
        <w:tabs>
          <w:tab w:val="left" w:pos="1820"/>
          <w:tab w:val="left" w:pos="4480"/>
          <w:tab w:val="left" w:pos="5740"/>
          <w:tab w:val="left" w:pos="6020"/>
          <w:tab w:val="left" w:pos="6300"/>
        </w:tabs>
        <w:spacing w:after="130" w:afterLines="30" w:line="440" w:lineRule="exact"/>
        <w:ind w:firstLine="602" w:firstLineChars="250"/>
        <w:rPr>
          <w:rFonts w:ascii="仿宋_GB2312" w:hAnsi="宋体"/>
          <w:b/>
          <w:bCs/>
          <w:sz w:val="24"/>
          <w:szCs w:val="24"/>
          <w:highlight w:val="none"/>
        </w:rPr>
      </w:pPr>
      <w:r>
        <w:rPr>
          <w:rFonts w:hint="eastAsia" w:ascii="仿宋_GB2312" w:hAnsi="宋体"/>
          <w:b/>
          <w:bCs/>
          <w:sz w:val="24"/>
          <w:szCs w:val="24"/>
          <w:highlight w:val="none"/>
        </w:rPr>
        <w:t xml:space="preserve">年  月  日  </w:t>
      </w:r>
      <w:r>
        <w:rPr>
          <w:rFonts w:ascii="仿宋_GB2312" w:hAnsi="宋体"/>
          <w:b/>
          <w:bCs/>
          <w:sz w:val="24"/>
          <w:szCs w:val="24"/>
          <w:highlight w:val="none"/>
        </w:rPr>
        <w:t xml:space="preserve">                                  </w:t>
      </w:r>
      <w:r>
        <w:rPr>
          <w:rFonts w:hint="eastAsia" w:ascii="仿宋_GB2312" w:hAnsi="宋体"/>
          <w:b/>
          <w:bCs/>
          <w:sz w:val="24"/>
          <w:szCs w:val="24"/>
          <w:highlight w:val="none"/>
        </w:rPr>
        <w:t>年  月  日</w:t>
      </w:r>
    </w:p>
    <w:p w14:paraId="697D590B">
      <w:pPr>
        <w:spacing w:line="440" w:lineRule="exact"/>
        <w:rPr>
          <w:rFonts w:ascii="仿宋_GB2312" w:hAnsi="宋体"/>
          <w:b/>
          <w:spacing w:val="-10"/>
          <w:sz w:val="24"/>
          <w:szCs w:val="24"/>
          <w:highlight w:val="none"/>
        </w:rPr>
      </w:pPr>
      <w:r>
        <w:rPr>
          <w:rFonts w:hint="eastAsia" w:ascii="仿宋_GB2312" w:hAnsi="宋体"/>
          <w:b/>
          <w:bCs/>
          <w:sz w:val="24"/>
          <w:szCs w:val="24"/>
          <w:highlight w:val="none"/>
        </w:rPr>
        <w:br w:type="page"/>
      </w:r>
      <w:r>
        <w:rPr>
          <w:rFonts w:hint="eastAsia" w:ascii="仿宋_GB2312" w:hAnsi="宋体"/>
          <w:b/>
          <w:spacing w:val="-10"/>
          <w:sz w:val="24"/>
          <w:szCs w:val="24"/>
          <w:highlight w:val="none"/>
        </w:rPr>
        <w:t>附件一：</w:t>
      </w:r>
    </w:p>
    <w:p w14:paraId="659EC0F0">
      <w:pPr>
        <w:tabs>
          <w:tab w:val="left" w:pos="1820"/>
          <w:tab w:val="left" w:pos="4480"/>
          <w:tab w:val="left" w:pos="5740"/>
          <w:tab w:val="left" w:pos="6020"/>
          <w:tab w:val="left" w:pos="6300"/>
        </w:tabs>
        <w:spacing w:line="440" w:lineRule="exact"/>
        <w:jc w:val="center"/>
        <w:rPr>
          <w:rFonts w:ascii="仿宋_GB2312" w:hAnsi="宋体"/>
          <w:b/>
          <w:spacing w:val="-10"/>
          <w:sz w:val="24"/>
          <w:szCs w:val="24"/>
          <w:highlight w:val="none"/>
        </w:rPr>
      </w:pPr>
      <w:r>
        <w:rPr>
          <w:rFonts w:hint="eastAsia" w:ascii="仿宋_GB2312" w:hAnsi="宋体"/>
          <w:b/>
          <w:spacing w:val="-10"/>
          <w:sz w:val="24"/>
          <w:szCs w:val="24"/>
          <w:highlight w:val="none"/>
        </w:rPr>
        <w:t>利益冲突管理规定告知书</w:t>
      </w:r>
    </w:p>
    <w:p w14:paraId="5B44AD48">
      <w:pPr>
        <w:tabs>
          <w:tab w:val="left" w:pos="1820"/>
          <w:tab w:val="left" w:pos="4480"/>
          <w:tab w:val="left" w:pos="5740"/>
          <w:tab w:val="left" w:pos="6020"/>
          <w:tab w:val="left" w:pos="6300"/>
        </w:tabs>
        <w:spacing w:line="440" w:lineRule="exact"/>
        <w:ind w:firstLine="440" w:firstLineChars="200"/>
        <w:rPr>
          <w:rFonts w:ascii="仿宋_GB2312" w:hAnsi="宋体"/>
          <w:spacing w:val="-10"/>
          <w:sz w:val="24"/>
          <w:szCs w:val="24"/>
          <w:highlight w:val="none"/>
        </w:rPr>
      </w:pPr>
    </w:p>
    <w:p w14:paraId="0C8D9869">
      <w:pPr>
        <w:tabs>
          <w:tab w:val="left" w:pos="1820"/>
          <w:tab w:val="left" w:pos="4480"/>
          <w:tab w:val="left" w:pos="5740"/>
          <w:tab w:val="left" w:pos="6020"/>
          <w:tab w:val="left" w:pos="6300"/>
        </w:tabs>
        <w:spacing w:line="440" w:lineRule="exact"/>
        <w:jc w:val="both"/>
        <w:rPr>
          <w:rFonts w:ascii="仿宋_GB2312" w:hAnsi="宋体"/>
          <w:spacing w:val="-10"/>
          <w:sz w:val="24"/>
          <w:szCs w:val="24"/>
          <w:highlight w:val="none"/>
        </w:rPr>
      </w:pPr>
      <w:r>
        <w:rPr>
          <w:rFonts w:hint="eastAsia" w:ascii="仿宋_GB2312" w:hAnsi="宋体"/>
          <w:spacing w:val="-10"/>
          <w:sz w:val="24"/>
          <w:szCs w:val="24"/>
          <w:highlight w:val="none"/>
        </w:rPr>
        <w:t xml:space="preserve"> 公司：</w:t>
      </w:r>
    </w:p>
    <w:p w14:paraId="562704B9">
      <w:pPr>
        <w:tabs>
          <w:tab w:val="left" w:pos="1820"/>
          <w:tab w:val="left" w:pos="4480"/>
          <w:tab w:val="left" w:pos="5740"/>
          <w:tab w:val="left" w:pos="6020"/>
          <w:tab w:val="left" w:pos="6300"/>
        </w:tabs>
        <w:spacing w:line="440" w:lineRule="exact"/>
        <w:ind w:firstLine="440" w:firstLineChars="200"/>
        <w:jc w:val="both"/>
        <w:rPr>
          <w:rFonts w:ascii="仿宋_GB2312" w:hAnsi="宋体"/>
          <w:spacing w:val="-10"/>
          <w:sz w:val="24"/>
          <w:szCs w:val="24"/>
          <w:highlight w:val="none"/>
        </w:rPr>
      </w:pPr>
      <w:r>
        <w:rPr>
          <w:rFonts w:hint="eastAsia" w:ascii="仿宋_GB2312" w:hAnsi="宋体"/>
          <w:spacing w:val="-10"/>
          <w:sz w:val="24"/>
          <w:szCs w:val="24"/>
          <w:highlight w:val="none"/>
        </w:rPr>
        <w:t>贵公司拟委托我公司提供资信评级服务，根据监管规定，我公司需在签订《资信评级合同书》前向贵公司告知相关的利益冲突管理规定。</w:t>
      </w:r>
    </w:p>
    <w:p w14:paraId="4520191C">
      <w:pPr>
        <w:tabs>
          <w:tab w:val="left" w:pos="1820"/>
          <w:tab w:val="left" w:pos="4480"/>
          <w:tab w:val="left" w:pos="5740"/>
          <w:tab w:val="left" w:pos="6020"/>
          <w:tab w:val="left" w:pos="6300"/>
        </w:tabs>
        <w:spacing w:line="440" w:lineRule="exact"/>
        <w:ind w:firstLine="440" w:firstLineChars="200"/>
        <w:jc w:val="both"/>
        <w:rPr>
          <w:rFonts w:ascii="仿宋_GB2312" w:hAnsi="宋体"/>
          <w:spacing w:val="-10"/>
          <w:sz w:val="24"/>
          <w:szCs w:val="24"/>
          <w:highlight w:val="none"/>
        </w:rPr>
      </w:pPr>
      <w:r>
        <w:rPr>
          <w:rFonts w:hint="eastAsia" w:ascii="仿宋_GB2312" w:hAnsi="宋体"/>
          <w:spacing w:val="-10"/>
          <w:sz w:val="24"/>
          <w:szCs w:val="24"/>
          <w:highlight w:val="none"/>
        </w:rPr>
        <w:t>根据中国证监会、中国人民银行等监管机构的规定，存在以下情形之一的，评级机构不得受托开展评级业务：</w:t>
      </w:r>
    </w:p>
    <w:p w14:paraId="624E59AB">
      <w:pPr>
        <w:tabs>
          <w:tab w:val="left" w:pos="1820"/>
          <w:tab w:val="left" w:pos="4480"/>
          <w:tab w:val="left" w:pos="5740"/>
          <w:tab w:val="left" w:pos="6020"/>
          <w:tab w:val="left" w:pos="6300"/>
        </w:tabs>
        <w:spacing w:line="440" w:lineRule="exact"/>
        <w:ind w:firstLine="440" w:firstLineChars="200"/>
        <w:jc w:val="both"/>
        <w:rPr>
          <w:rFonts w:ascii="仿宋_GB2312" w:hAnsi="宋体"/>
          <w:spacing w:val="-10"/>
          <w:sz w:val="24"/>
          <w:szCs w:val="24"/>
          <w:highlight w:val="none"/>
        </w:rPr>
      </w:pPr>
      <w:r>
        <w:rPr>
          <w:rFonts w:hint="eastAsia" w:ascii="仿宋_GB2312" w:hAnsi="宋体"/>
          <w:spacing w:val="-10"/>
          <w:sz w:val="24"/>
          <w:szCs w:val="24"/>
          <w:highlight w:val="none"/>
        </w:rPr>
        <w:t>（一）评级机构与评级委托方、受评对象为同一实际控制人所控制；</w:t>
      </w:r>
    </w:p>
    <w:p w14:paraId="1277034B">
      <w:pPr>
        <w:tabs>
          <w:tab w:val="left" w:pos="1820"/>
          <w:tab w:val="left" w:pos="4480"/>
          <w:tab w:val="left" w:pos="5740"/>
          <w:tab w:val="left" w:pos="6020"/>
          <w:tab w:val="left" w:pos="6300"/>
        </w:tabs>
        <w:spacing w:line="440" w:lineRule="exact"/>
        <w:ind w:firstLine="440" w:firstLineChars="200"/>
        <w:jc w:val="both"/>
        <w:rPr>
          <w:rFonts w:ascii="仿宋_GB2312" w:hAnsi="宋体"/>
          <w:spacing w:val="-10"/>
          <w:sz w:val="24"/>
          <w:szCs w:val="24"/>
          <w:highlight w:val="none"/>
        </w:rPr>
      </w:pPr>
      <w:r>
        <w:rPr>
          <w:rFonts w:hint="eastAsia" w:ascii="仿宋_GB2312" w:hAnsi="宋体"/>
          <w:spacing w:val="-10"/>
          <w:sz w:val="24"/>
          <w:szCs w:val="24"/>
          <w:highlight w:val="none"/>
        </w:rPr>
        <w:t>（二）同一股东持有评级机构、评级委托方、受评对象的股份均达到5%以上；</w:t>
      </w:r>
    </w:p>
    <w:p w14:paraId="7A314B9B">
      <w:pPr>
        <w:tabs>
          <w:tab w:val="left" w:pos="1820"/>
          <w:tab w:val="left" w:pos="4480"/>
          <w:tab w:val="left" w:pos="5740"/>
          <w:tab w:val="left" w:pos="6020"/>
          <w:tab w:val="left" w:pos="6300"/>
        </w:tabs>
        <w:spacing w:line="440" w:lineRule="exact"/>
        <w:ind w:firstLine="440" w:firstLineChars="200"/>
        <w:jc w:val="both"/>
        <w:rPr>
          <w:rFonts w:ascii="仿宋_GB2312" w:hAnsi="宋体"/>
          <w:spacing w:val="-10"/>
          <w:sz w:val="24"/>
          <w:szCs w:val="24"/>
          <w:highlight w:val="none"/>
        </w:rPr>
      </w:pPr>
      <w:r>
        <w:rPr>
          <w:rFonts w:hint="eastAsia" w:ascii="仿宋_GB2312" w:hAnsi="宋体"/>
          <w:spacing w:val="-10"/>
          <w:sz w:val="24"/>
          <w:szCs w:val="24"/>
          <w:highlight w:val="none"/>
        </w:rPr>
        <w:t>（三）评级委托方、受评对象及实际控制人直接或者间接持有评级机构股份达到5%以上；</w:t>
      </w:r>
    </w:p>
    <w:p w14:paraId="0D428EF1">
      <w:pPr>
        <w:tabs>
          <w:tab w:val="left" w:pos="1820"/>
          <w:tab w:val="left" w:pos="4480"/>
          <w:tab w:val="left" w:pos="5740"/>
          <w:tab w:val="left" w:pos="6020"/>
          <w:tab w:val="left" w:pos="6300"/>
        </w:tabs>
        <w:spacing w:line="440" w:lineRule="exact"/>
        <w:ind w:firstLine="440" w:firstLineChars="200"/>
        <w:jc w:val="both"/>
        <w:rPr>
          <w:rFonts w:ascii="仿宋_GB2312" w:hAnsi="宋体"/>
          <w:spacing w:val="-10"/>
          <w:sz w:val="24"/>
          <w:szCs w:val="24"/>
          <w:highlight w:val="none"/>
        </w:rPr>
      </w:pPr>
      <w:r>
        <w:rPr>
          <w:rFonts w:hint="eastAsia" w:ascii="仿宋_GB2312" w:hAnsi="宋体"/>
          <w:spacing w:val="-10"/>
          <w:sz w:val="24"/>
          <w:szCs w:val="24"/>
          <w:highlight w:val="none"/>
        </w:rPr>
        <w:t>（四）评级机构及实际控制人直接或者间接持有评级委托方、受评对象股份达到5%以上；</w:t>
      </w:r>
    </w:p>
    <w:p w14:paraId="6FFFBCDB">
      <w:pPr>
        <w:tabs>
          <w:tab w:val="left" w:pos="1820"/>
          <w:tab w:val="left" w:pos="4480"/>
          <w:tab w:val="left" w:pos="5740"/>
          <w:tab w:val="left" w:pos="6020"/>
          <w:tab w:val="left" w:pos="6300"/>
        </w:tabs>
        <w:spacing w:line="440" w:lineRule="exact"/>
        <w:ind w:firstLine="440" w:firstLineChars="200"/>
        <w:jc w:val="both"/>
        <w:rPr>
          <w:rFonts w:ascii="仿宋_GB2312" w:hAnsi="宋体"/>
          <w:spacing w:val="-10"/>
          <w:sz w:val="24"/>
          <w:szCs w:val="24"/>
          <w:highlight w:val="none"/>
        </w:rPr>
      </w:pPr>
      <w:r>
        <w:rPr>
          <w:rFonts w:hint="eastAsia" w:ascii="仿宋_GB2312" w:hAnsi="宋体"/>
          <w:spacing w:val="-10"/>
          <w:sz w:val="24"/>
          <w:szCs w:val="24"/>
          <w:highlight w:val="none"/>
        </w:rPr>
        <w:t>（五）评级机构及实际控制人在开展证券评级业务之前6个月内及开展评级业务期间持有或交易与评级委托方、受评对象相关的证券或衍生品；</w:t>
      </w:r>
    </w:p>
    <w:p w14:paraId="543B978C">
      <w:pPr>
        <w:tabs>
          <w:tab w:val="left" w:pos="1820"/>
          <w:tab w:val="left" w:pos="4480"/>
          <w:tab w:val="left" w:pos="5740"/>
          <w:tab w:val="left" w:pos="6020"/>
          <w:tab w:val="left" w:pos="6300"/>
        </w:tabs>
        <w:spacing w:line="440" w:lineRule="exact"/>
        <w:ind w:firstLine="440" w:firstLineChars="200"/>
        <w:jc w:val="both"/>
        <w:rPr>
          <w:rFonts w:ascii="仿宋_GB2312" w:hAnsi="宋体"/>
          <w:spacing w:val="-10"/>
          <w:sz w:val="24"/>
          <w:szCs w:val="24"/>
          <w:highlight w:val="none"/>
        </w:rPr>
      </w:pPr>
      <w:r>
        <w:rPr>
          <w:rFonts w:hint="eastAsia" w:ascii="仿宋_GB2312" w:hAnsi="宋体"/>
          <w:spacing w:val="-10"/>
          <w:sz w:val="24"/>
          <w:szCs w:val="24"/>
          <w:highlight w:val="none"/>
        </w:rPr>
        <w:t>（六）中国证监会基于保护投资者、维护社会公共利益认定的其他情形及其他监管机构认为可能影响评级独立性的情形。</w:t>
      </w:r>
    </w:p>
    <w:p w14:paraId="0D6F4E54">
      <w:pPr>
        <w:tabs>
          <w:tab w:val="left" w:pos="1820"/>
          <w:tab w:val="left" w:pos="4480"/>
          <w:tab w:val="left" w:pos="5740"/>
          <w:tab w:val="left" w:pos="6020"/>
          <w:tab w:val="left" w:pos="6300"/>
        </w:tabs>
        <w:spacing w:line="440" w:lineRule="exact"/>
        <w:ind w:firstLine="440" w:firstLineChars="200"/>
        <w:jc w:val="both"/>
        <w:rPr>
          <w:rFonts w:ascii="仿宋_GB2312" w:hAnsi="宋体"/>
          <w:spacing w:val="-10"/>
          <w:sz w:val="24"/>
          <w:szCs w:val="24"/>
          <w:highlight w:val="none"/>
        </w:rPr>
      </w:pPr>
      <w:r>
        <w:rPr>
          <w:rFonts w:hint="eastAsia" w:ascii="仿宋_GB2312" w:hAnsi="宋体"/>
          <w:spacing w:val="-10"/>
          <w:sz w:val="24"/>
          <w:szCs w:val="24"/>
          <w:highlight w:val="none"/>
        </w:rPr>
        <w:t>特此告知。</w:t>
      </w:r>
    </w:p>
    <w:p w14:paraId="52D3F965">
      <w:pPr>
        <w:tabs>
          <w:tab w:val="left" w:pos="1820"/>
          <w:tab w:val="left" w:pos="4480"/>
          <w:tab w:val="left" w:pos="5740"/>
          <w:tab w:val="left" w:pos="6020"/>
          <w:tab w:val="left" w:pos="6300"/>
        </w:tabs>
        <w:spacing w:line="440" w:lineRule="exact"/>
        <w:ind w:firstLine="440" w:firstLineChars="200"/>
        <w:jc w:val="both"/>
        <w:rPr>
          <w:rFonts w:ascii="仿宋_GB2312" w:hAnsi="宋体"/>
          <w:spacing w:val="-10"/>
          <w:sz w:val="24"/>
          <w:szCs w:val="24"/>
          <w:highlight w:val="none"/>
        </w:rPr>
      </w:pPr>
    </w:p>
    <w:p w14:paraId="48B2F4ED">
      <w:pPr>
        <w:tabs>
          <w:tab w:val="left" w:pos="1820"/>
          <w:tab w:val="left" w:pos="4480"/>
          <w:tab w:val="left" w:pos="5740"/>
          <w:tab w:val="left" w:pos="6020"/>
          <w:tab w:val="left" w:pos="6300"/>
        </w:tabs>
        <w:spacing w:line="440" w:lineRule="exact"/>
        <w:ind w:firstLine="440" w:firstLineChars="200"/>
        <w:jc w:val="both"/>
        <w:rPr>
          <w:rFonts w:ascii="仿宋_GB2312" w:hAnsi="宋体"/>
          <w:spacing w:val="-10"/>
          <w:sz w:val="24"/>
          <w:szCs w:val="24"/>
          <w:highlight w:val="none"/>
        </w:rPr>
      </w:pPr>
    </w:p>
    <w:p w14:paraId="56C5CADE">
      <w:pPr>
        <w:tabs>
          <w:tab w:val="left" w:pos="1820"/>
          <w:tab w:val="left" w:pos="4480"/>
          <w:tab w:val="left" w:pos="5740"/>
          <w:tab w:val="left" w:pos="6020"/>
          <w:tab w:val="left" w:pos="6300"/>
        </w:tabs>
        <w:spacing w:line="440" w:lineRule="exact"/>
        <w:ind w:firstLine="440" w:firstLineChars="200"/>
        <w:jc w:val="right"/>
        <w:rPr>
          <w:rFonts w:ascii="仿宋_GB2312" w:hAnsi="宋体"/>
          <w:spacing w:val="-10"/>
          <w:sz w:val="24"/>
          <w:szCs w:val="24"/>
          <w:highlight w:val="none"/>
        </w:rPr>
      </w:pPr>
    </w:p>
    <w:p w14:paraId="7A983354">
      <w:pPr>
        <w:tabs>
          <w:tab w:val="left" w:pos="1820"/>
          <w:tab w:val="left" w:pos="4480"/>
          <w:tab w:val="left" w:pos="5740"/>
          <w:tab w:val="left" w:pos="6020"/>
          <w:tab w:val="left" w:pos="6300"/>
        </w:tabs>
        <w:spacing w:line="440" w:lineRule="exact"/>
        <w:ind w:right="280" w:firstLine="440" w:firstLineChars="200"/>
        <w:jc w:val="right"/>
        <w:rPr>
          <w:rFonts w:ascii="仿宋_GB2312" w:hAnsi="宋体"/>
          <w:spacing w:val="-10"/>
          <w:sz w:val="24"/>
          <w:szCs w:val="24"/>
          <w:highlight w:val="none"/>
        </w:rPr>
      </w:pPr>
      <w:r>
        <w:rPr>
          <w:rFonts w:hint="eastAsia" w:ascii="仿宋_GB2312" w:hAnsi="宋体"/>
          <w:spacing w:val="-10"/>
          <w:sz w:val="24"/>
          <w:szCs w:val="24"/>
          <w:highlight w:val="none"/>
        </w:rPr>
        <w:t>20   年   月   日</w:t>
      </w:r>
    </w:p>
    <w:p w14:paraId="5DF740B7">
      <w:pPr>
        <w:tabs>
          <w:tab w:val="left" w:pos="1820"/>
          <w:tab w:val="left" w:pos="4480"/>
          <w:tab w:val="left" w:pos="5740"/>
          <w:tab w:val="left" w:pos="6020"/>
          <w:tab w:val="left" w:pos="6300"/>
        </w:tabs>
        <w:spacing w:line="440" w:lineRule="exact"/>
        <w:rPr>
          <w:rFonts w:ascii="仿宋_GB2312" w:hAnsi="宋体"/>
          <w:b/>
          <w:spacing w:val="-10"/>
          <w:sz w:val="24"/>
          <w:szCs w:val="24"/>
          <w:highlight w:val="none"/>
        </w:rPr>
      </w:pPr>
      <w:r>
        <w:rPr>
          <w:rFonts w:hint="eastAsia" w:ascii="仿宋_GB2312" w:hAnsi="宋体"/>
          <w:spacing w:val="-10"/>
          <w:sz w:val="24"/>
          <w:szCs w:val="24"/>
          <w:highlight w:val="none"/>
        </w:rPr>
        <w:br w:type="page"/>
      </w:r>
      <w:r>
        <w:rPr>
          <w:rFonts w:hint="eastAsia" w:ascii="仿宋_GB2312" w:hAnsi="宋体"/>
          <w:b/>
          <w:spacing w:val="-10"/>
          <w:sz w:val="24"/>
          <w:szCs w:val="24"/>
          <w:highlight w:val="none"/>
        </w:rPr>
        <w:t>附件二</w:t>
      </w:r>
    </w:p>
    <w:p w14:paraId="6E43AA27">
      <w:pPr>
        <w:spacing w:line="440" w:lineRule="exact"/>
        <w:jc w:val="center"/>
        <w:rPr>
          <w:rFonts w:ascii="仿宋_GB2312" w:hAnsi="宋体"/>
          <w:b/>
          <w:color w:val="000000"/>
          <w:sz w:val="24"/>
          <w:szCs w:val="24"/>
          <w:highlight w:val="none"/>
        </w:rPr>
      </w:pPr>
      <w:r>
        <w:rPr>
          <w:rFonts w:hint="eastAsia" w:ascii="仿宋_GB2312" w:hAnsi="宋体"/>
          <w:b/>
          <w:color w:val="000000"/>
          <w:sz w:val="24"/>
          <w:szCs w:val="24"/>
          <w:highlight w:val="none"/>
        </w:rPr>
        <w:t>廉洁从业告知书</w:t>
      </w:r>
    </w:p>
    <w:p w14:paraId="3D4E224F">
      <w:pPr>
        <w:spacing w:line="440" w:lineRule="exact"/>
        <w:jc w:val="center"/>
        <w:rPr>
          <w:rFonts w:ascii="仿宋_GB2312" w:hAnsi="宋体"/>
          <w:b/>
          <w:color w:val="000000"/>
          <w:sz w:val="24"/>
          <w:szCs w:val="24"/>
          <w:highlight w:val="none"/>
        </w:rPr>
      </w:pPr>
    </w:p>
    <w:p w14:paraId="756E5A7E">
      <w:pPr>
        <w:spacing w:line="440" w:lineRule="exact"/>
        <w:jc w:val="both"/>
        <w:rPr>
          <w:rFonts w:ascii="仿宋_GB2312"/>
          <w:color w:val="000000"/>
          <w:sz w:val="24"/>
          <w:szCs w:val="24"/>
          <w:highlight w:val="none"/>
        </w:rPr>
      </w:pPr>
      <w:r>
        <w:rPr>
          <w:rFonts w:hint="eastAsia" w:ascii="仿宋_GB2312"/>
          <w:color w:val="000000"/>
          <w:sz w:val="24"/>
          <w:szCs w:val="24"/>
          <w:highlight w:val="none"/>
        </w:rPr>
        <w:t>公司：</w:t>
      </w:r>
    </w:p>
    <w:p w14:paraId="242B22EF">
      <w:pPr>
        <w:spacing w:line="440" w:lineRule="exact"/>
        <w:ind w:firstLine="480" w:firstLineChars="200"/>
        <w:jc w:val="both"/>
        <w:rPr>
          <w:rFonts w:ascii="仿宋_GB2312"/>
          <w:color w:val="000000"/>
          <w:sz w:val="24"/>
          <w:szCs w:val="24"/>
          <w:highlight w:val="none"/>
        </w:rPr>
      </w:pPr>
      <w:r>
        <w:rPr>
          <w:rFonts w:hint="eastAsia" w:ascii="仿宋_GB2312"/>
          <w:color w:val="000000"/>
          <w:sz w:val="24"/>
          <w:szCs w:val="24"/>
          <w:highlight w:val="none"/>
        </w:rPr>
        <w:t>为保护贵我双方的经济利益，根据《反不正当竞争法》、《证券期货经营机构及其工作人员廉洁从业规定》、《关于禁止商业贿赂行为的暂行规定》等相关法律法规以及《廉洁从业管理办法》、《从业人员执业行为规范》等制度文件，就贵我双方签订的《资信评级合同书》及后续评级工作中市场人员及项目组成员的行为规范，特向贵公司说明如下：</w:t>
      </w:r>
    </w:p>
    <w:p w14:paraId="166152BA">
      <w:pPr>
        <w:spacing w:line="440" w:lineRule="exact"/>
        <w:ind w:firstLine="480" w:firstLineChars="200"/>
        <w:jc w:val="both"/>
        <w:rPr>
          <w:rFonts w:ascii="仿宋_GB2312"/>
          <w:color w:val="000000"/>
          <w:sz w:val="24"/>
          <w:szCs w:val="24"/>
          <w:highlight w:val="none"/>
        </w:rPr>
      </w:pPr>
      <w:r>
        <w:rPr>
          <w:rFonts w:hint="eastAsia" w:ascii="仿宋_GB2312"/>
          <w:color w:val="000000"/>
          <w:sz w:val="24"/>
          <w:szCs w:val="24"/>
          <w:highlight w:val="none"/>
        </w:rPr>
        <w:t>一、我公司严格要求市场人员遵守有关公平竞争、廉洁从业的法律法规，确保市场人员不因我公司原因使贵公司相关人员违反廉洁自律的规章制度。</w:t>
      </w:r>
    </w:p>
    <w:p w14:paraId="33A6A454">
      <w:pPr>
        <w:spacing w:line="440" w:lineRule="exact"/>
        <w:ind w:firstLine="480" w:firstLineChars="200"/>
        <w:jc w:val="both"/>
        <w:rPr>
          <w:rFonts w:ascii="仿宋_GB2312" w:hAnsi="Times New Roman"/>
          <w:color w:val="000000"/>
          <w:sz w:val="24"/>
          <w:szCs w:val="24"/>
          <w:highlight w:val="none"/>
        </w:rPr>
      </w:pPr>
      <w:r>
        <w:rPr>
          <w:rFonts w:hint="eastAsia" w:ascii="仿宋_GB2312"/>
          <w:color w:val="000000"/>
          <w:sz w:val="24"/>
          <w:szCs w:val="24"/>
          <w:highlight w:val="none"/>
        </w:rPr>
        <w:t>二、我公司严格要求市场人员不得</w:t>
      </w:r>
      <w:r>
        <w:rPr>
          <w:rFonts w:hint="eastAsia" w:ascii="仿宋_GB2312" w:hAnsi="Times New Roman"/>
          <w:color w:val="000000"/>
          <w:sz w:val="24"/>
          <w:szCs w:val="24"/>
          <w:highlight w:val="none"/>
        </w:rPr>
        <w:t>承诺分享投资收益或者分担投资损失、以级定价、压价竞争、诋毁同行等不正当竞争手段招揽业务或获取不正当利益，进行恶性竞争。</w:t>
      </w:r>
    </w:p>
    <w:p w14:paraId="604F08A2">
      <w:pPr>
        <w:spacing w:line="440" w:lineRule="exact"/>
        <w:ind w:firstLine="480" w:firstLineChars="200"/>
        <w:jc w:val="both"/>
        <w:rPr>
          <w:rFonts w:ascii="仿宋_GB2312" w:hAnsi="Times New Roman"/>
          <w:color w:val="000000"/>
          <w:sz w:val="24"/>
          <w:szCs w:val="24"/>
          <w:highlight w:val="none"/>
        </w:rPr>
      </w:pPr>
      <w:r>
        <w:rPr>
          <w:rFonts w:hint="eastAsia" w:ascii="仿宋_GB2312" w:hAnsi="Times New Roman"/>
          <w:color w:val="000000"/>
          <w:sz w:val="24"/>
          <w:szCs w:val="24"/>
          <w:highlight w:val="none"/>
        </w:rPr>
        <w:t>三、</w:t>
      </w:r>
      <w:r>
        <w:rPr>
          <w:rFonts w:hint="eastAsia" w:ascii="仿宋_GB2312"/>
          <w:color w:val="000000"/>
          <w:sz w:val="24"/>
          <w:szCs w:val="24"/>
          <w:highlight w:val="none"/>
        </w:rPr>
        <w:t>我公司严格</w:t>
      </w:r>
      <w:r>
        <w:rPr>
          <w:rFonts w:hint="eastAsia" w:ascii="仿宋_GB2312" w:hAnsi="Times New Roman"/>
          <w:color w:val="000000"/>
          <w:sz w:val="24"/>
          <w:szCs w:val="24"/>
          <w:highlight w:val="none"/>
        </w:rPr>
        <w:t>要求市场人员不得以现金返还、业务回扣等商业贿赂方式获取贵公司评级业务，亦不得以抬高或降低评级结果为条件诱使或逼迫贵公司支付更多的评级费用。</w:t>
      </w:r>
    </w:p>
    <w:p w14:paraId="6D0E1618">
      <w:pPr>
        <w:spacing w:line="440" w:lineRule="exact"/>
        <w:ind w:firstLine="480" w:firstLineChars="200"/>
        <w:jc w:val="both"/>
        <w:rPr>
          <w:rFonts w:ascii="仿宋_GB2312" w:hAnsi="Times New Roman"/>
          <w:color w:val="000000"/>
          <w:sz w:val="24"/>
          <w:szCs w:val="24"/>
          <w:highlight w:val="none"/>
        </w:rPr>
      </w:pPr>
      <w:r>
        <w:rPr>
          <w:rFonts w:hint="eastAsia" w:ascii="仿宋_GB2312" w:hAnsi="Times New Roman"/>
          <w:color w:val="000000"/>
          <w:sz w:val="24"/>
          <w:szCs w:val="24"/>
          <w:highlight w:val="none"/>
        </w:rPr>
        <w:t>四、</w:t>
      </w:r>
      <w:r>
        <w:rPr>
          <w:rFonts w:hint="eastAsia" w:ascii="仿宋_GB2312"/>
          <w:color w:val="000000"/>
          <w:sz w:val="24"/>
          <w:szCs w:val="24"/>
          <w:highlight w:val="none"/>
        </w:rPr>
        <w:t>我公司严格</w:t>
      </w:r>
      <w:r>
        <w:rPr>
          <w:rFonts w:hint="eastAsia" w:ascii="仿宋_GB2312" w:hAnsi="Times New Roman"/>
          <w:color w:val="000000"/>
          <w:sz w:val="24"/>
          <w:szCs w:val="24"/>
          <w:highlight w:val="none"/>
        </w:rPr>
        <w:t>要求市场人员</w:t>
      </w:r>
      <w:r>
        <w:rPr>
          <w:rFonts w:hint="eastAsia" w:ascii="仿宋_GB2312"/>
          <w:color w:val="000000"/>
          <w:sz w:val="24"/>
          <w:szCs w:val="24"/>
          <w:highlight w:val="none"/>
        </w:rPr>
        <w:t>及项目组成员</w:t>
      </w:r>
      <w:r>
        <w:rPr>
          <w:rFonts w:hint="eastAsia" w:ascii="仿宋_GB2312" w:hAnsi="Times New Roman"/>
          <w:color w:val="000000"/>
          <w:sz w:val="24"/>
          <w:szCs w:val="24"/>
          <w:highlight w:val="none"/>
        </w:rPr>
        <w:t>不得承诺或买卖级别，利用内幕信息进行关联交易或参与利益输送。</w:t>
      </w:r>
    </w:p>
    <w:p w14:paraId="18814215">
      <w:pPr>
        <w:spacing w:line="440" w:lineRule="exact"/>
        <w:ind w:firstLine="480" w:firstLineChars="200"/>
        <w:jc w:val="both"/>
        <w:rPr>
          <w:rFonts w:ascii="仿宋_GB2312" w:hAnsi="Times New Roman"/>
          <w:color w:val="000000"/>
          <w:sz w:val="24"/>
          <w:szCs w:val="24"/>
          <w:highlight w:val="none"/>
        </w:rPr>
      </w:pPr>
      <w:r>
        <w:rPr>
          <w:rFonts w:hint="eastAsia" w:ascii="仿宋_GB2312" w:hAnsi="Times New Roman"/>
          <w:color w:val="000000"/>
          <w:sz w:val="24"/>
          <w:szCs w:val="24"/>
          <w:highlight w:val="none"/>
        </w:rPr>
        <w:t>五、</w:t>
      </w:r>
      <w:r>
        <w:rPr>
          <w:rFonts w:hint="eastAsia" w:ascii="仿宋_GB2312"/>
          <w:color w:val="000000"/>
          <w:sz w:val="24"/>
          <w:szCs w:val="24"/>
          <w:highlight w:val="none"/>
        </w:rPr>
        <w:t>我公司严格</w:t>
      </w:r>
      <w:r>
        <w:rPr>
          <w:rFonts w:hint="eastAsia" w:ascii="仿宋_GB2312" w:hAnsi="Times New Roman"/>
          <w:color w:val="000000"/>
          <w:sz w:val="24"/>
          <w:szCs w:val="24"/>
          <w:highlight w:val="none"/>
        </w:rPr>
        <w:t>要求市场人员</w:t>
      </w:r>
      <w:r>
        <w:rPr>
          <w:rFonts w:hint="eastAsia" w:ascii="仿宋_GB2312"/>
          <w:color w:val="000000"/>
          <w:sz w:val="24"/>
          <w:szCs w:val="24"/>
          <w:highlight w:val="none"/>
        </w:rPr>
        <w:t>及项目组成员</w:t>
      </w:r>
      <w:r>
        <w:rPr>
          <w:rFonts w:hint="eastAsia" w:ascii="仿宋_GB2312" w:hAnsi="Times New Roman"/>
          <w:color w:val="000000"/>
          <w:sz w:val="24"/>
          <w:szCs w:val="24"/>
          <w:highlight w:val="none"/>
        </w:rPr>
        <w:t>不得索取或收受任何商业贿赂、礼金、回扣，严禁任何形式的敲诈勒索行为。</w:t>
      </w:r>
    </w:p>
    <w:p w14:paraId="5534CA2E">
      <w:pPr>
        <w:spacing w:line="440" w:lineRule="exact"/>
        <w:ind w:firstLine="480" w:firstLineChars="200"/>
        <w:jc w:val="both"/>
        <w:rPr>
          <w:rFonts w:ascii="仿宋_GB2312" w:hAnsi="Times New Roman"/>
          <w:color w:val="000000"/>
          <w:sz w:val="24"/>
          <w:szCs w:val="24"/>
          <w:highlight w:val="none"/>
        </w:rPr>
      </w:pPr>
      <w:r>
        <w:rPr>
          <w:rFonts w:hint="eastAsia" w:ascii="仿宋_GB2312" w:hAnsi="Times New Roman"/>
          <w:color w:val="000000"/>
          <w:sz w:val="24"/>
          <w:szCs w:val="24"/>
          <w:highlight w:val="none"/>
        </w:rPr>
        <w:t>如我公司市场人员</w:t>
      </w:r>
      <w:r>
        <w:rPr>
          <w:rFonts w:hint="eastAsia" w:ascii="仿宋_GB2312"/>
          <w:color w:val="000000"/>
          <w:sz w:val="24"/>
          <w:szCs w:val="24"/>
          <w:highlight w:val="none"/>
        </w:rPr>
        <w:t>及项目组成员</w:t>
      </w:r>
      <w:r>
        <w:rPr>
          <w:rFonts w:hint="eastAsia" w:ascii="仿宋_GB2312" w:hAnsi="Times New Roman"/>
          <w:color w:val="000000"/>
          <w:sz w:val="24"/>
          <w:szCs w:val="24"/>
          <w:highlight w:val="none"/>
        </w:rPr>
        <w:t>在评级业务开展过程中存在违反以上要求的行为，贵公司可通过电子邮件将有关事项及证据发送至我公司合规管理部门（），或我公司纪委举报邮箱、电话（），我公司将进行调查并及时向贵公司反馈。</w:t>
      </w:r>
    </w:p>
    <w:p w14:paraId="596C1B7A">
      <w:pPr>
        <w:spacing w:line="440" w:lineRule="exact"/>
        <w:ind w:firstLine="480" w:firstLineChars="200"/>
        <w:jc w:val="both"/>
        <w:rPr>
          <w:rFonts w:ascii="仿宋_GB2312" w:hAnsi="Noto Sans CJK JP Regular"/>
          <w:color w:val="000000"/>
          <w:sz w:val="24"/>
          <w:szCs w:val="24"/>
          <w:highlight w:val="none"/>
        </w:rPr>
      </w:pPr>
      <w:r>
        <w:rPr>
          <w:rFonts w:hint="eastAsia" w:ascii="仿宋_GB2312" w:hAnsi="Noto Sans CJK JP Regular"/>
          <w:color w:val="000000"/>
          <w:sz w:val="24"/>
          <w:szCs w:val="24"/>
          <w:highlight w:val="none"/>
        </w:rPr>
        <w:t>此外，若贵公司所涉及的政策环境、行业风险以及贵公司的经营策略、财务状况等因素发生重大变化，请</w:t>
      </w:r>
      <w:r>
        <w:rPr>
          <w:rFonts w:hint="eastAsia" w:ascii="仿宋_GB2312" w:hAnsi="Times New Roman"/>
          <w:color w:val="000000"/>
          <w:sz w:val="24"/>
          <w:szCs w:val="24"/>
          <w:highlight w:val="none"/>
        </w:rPr>
        <w:t>在相关变化发生后24小时内</w:t>
      </w:r>
      <w:r>
        <w:rPr>
          <w:rFonts w:hint="eastAsia" w:ascii="仿宋_GB2312" w:hAnsi="Noto Sans CJK JP Regular"/>
          <w:color w:val="000000"/>
          <w:sz w:val="24"/>
          <w:szCs w:val="24"/>
          <w:highlight w:val="none"/>
        </w:rPr>
        <w:t>通过电子邮件告知项目组成员及市场人员，项目组成员</w:t>
      </w:r>
      <w:r>
        <w:rPr>
          <w:rFonts w:hint="eastAsia" w:ascii="仿宋_GB2312" w:hAnsi="Times New Roman"/>
          <w:color w:val="000000"/>
          <w:sz w:val="24"/>
          <w:szCs w:val="24"/>
          <w:highlight w:val="none"/>
        </w:rPr>
        <w:t>将在3个工作日内以书面形式告知贵公司是否启动不定期跟踪的决定及理由。项目组成员未及时处理的，贵公司可告知我公司合规管理部门进行监督</w:t>
      </w:r>
      <w:r>
        <w:rPr>
          <w:rFonts w:hint="eastAsia" w:ascii="仿宋_GB2312" w:hAnsi="Noto Sans CJK JP Regular"/>
          <w:color w:val="000000"/>
          <w:sz w:val="24"/>
          <w:szCs w:val="24"/>
          <w:highlight w:val="none"/>
        </w:rPr>
        <w:t>。</w:t>
      </w:r>
    </w:p>
    <w:p w14:paraId="4E274129">
      <w:pPr>
        <w:spacing w:line="440" w:lineRule="exact"/>
        <w:ind w:firstLine="480" w:firstLineChars="200"/>
        <w:jc w:val="both"/>
        <w:rPr>
          <w:rFonts w:ascii="仿宋_GB2312" w:hAnsi="Noto Sans CJK JP Regular"/>
          <w:color w:val="000000"/>
          <w:sz w:val="24"/>
          <w:szCs w:val="24"/>
          <w:highlight w:val="none"/>
        </w:rPr>
      </w:pPr>
      <w:r>
        <w:rPr>
          <w:rFonts w:hint="eastAsia" w:ascii="仿宋_GB2312" w:hAnsi="Noto Sans CJK JP Regular"/>
          <w:color w:val="000000"/>
          <w:sz w:val="24"/>
          <w:szCs w:val="24"/>
          <w:highlight w:val="none"/>
        </w:rPr>
        <w:t>特此告知。</w:t>
      </w:r>
    </w:p>
    <w:p w14:paraId="6EC0E7CA">
      <w:pPr>
        <w:spacing w:line="440" w:lineRule="exact"/>
        <w:ind w:firstLine="480" w:firstLineChars="200"/>
        <w:jc w:val="right"/>
        <w:rPr>
          <w:rFonts w:ascii="仿宋_GB2312" w:hAnsi="Noto Sans CJK JP Regular"/>
          <w:color w:val="000000"/>
          <w:sz w:val="24"/>
          <w:szCs w:val="24"/>
          <w:highlight w:val="none"/>
        </w:rPr>
      </w:pPr>
    </w:p>
    <w:p w14:paraId="595DA8F3">
      <w:pPr>
        <w:spacing w:line="440" w:lineRule="exact"/>
        <w:ind w:firstLine="480" w:firstLineChars="200"/>
        <w:jc w:val="right"/>
        <w:rPr>
          <w:rFonts w:ascii="仿宋_GB2312" w:hAnsi="Times New Roman"/>
          <w:color w:val="000000"/>
          <w:sz w:val="24"/>
          <w:szCs w:val="24"/>
          <w:highlight w:val="none"/>
        </w:rPr>
      </w:pPr>
    </w:p>
    <w:p w14:paraId="1EED2203">
      <w:pPr>
        <w:tabs>
          <w:tab w:val="left" w:pos="5070"/>
          <w:tab w:val="right" w:pos="7856"/>
        </w:tabs>
        <w:spacing w:line="440" w:lineRule="exact"/>
        <w:ind w:right="450" w:firstLine="480" w:firstLineChars="200"/>
        <w:jc w:val="right"/>
        <w:rPr>
          <w:rFonts w:ascii="仿宋_GB2312" w:hAnsi="Times New Roman"/>
          <w:color w:val="000000"/>
          <w:sz w:val="24"/>
          <w:szCs w:val="24"/>
          <w:highlight w:val="none"/>
        </w:rPr>
      </w:pPr>
      <w:r>
        <w:rPr>
          <w:rFonts w:hint="eastAsia" w:ascii="仿宋_GB2312" w:hAnsi="Times New Roman"/>
          <w:color w:val="000000"/>
          <w:sz w:val="24"/>
          <w:szCs w:val="24"/>
          <w:highlight w:val="none"/>
        </w:rPr>
        <w:tab/>
      </w:r>
      <w:r>
        <w:rPr>
          <w:rFonts w:hint="eastAsia" w:ascii="仿宋_GB2312" w:hAnsi="Times New Roman"/>
          <w:color w:val="000000"/>
          <w:sz w:val="24"/>
          <w:szCs w:val="24"/>
          <w:highlight w:val="none"/>
        </w:rPr>
        <w:tab/>
      </w:r>
      <w:r>
        <w:rPr>
          <w:rFonts w:ascii="仿宋_GB2312" w:hAnsi="Times New Roman"/>
          <w:color w:val="000000"/>
          <w:sz w:val="24"/>
          <w:szCs w:val="24"/>
          <w:highlight w:val="none"/>
        </w:rPr>
        <w:t xml:space="preserve">   </w:t>
      </w:r>
      <w:r>
        <w:rPr>
          <w:rFonts w:hint="eastAsia" w:ascii="仿宋_GB2312" w:hAnsi="Times New Roman"/>
          <w:color w:val="000000"/>
          <w:sz w:val="24"/>
          <w:szCs w:val="24"/>
          <w:highlight w:val="none"/>
        </w:rPr>
        <w:t>20   年   月   日</w:t>
      </w:r>
    </w:p>
    <w:p w14:paraId="7775B8E1">
      <w:pPr>
        <w:pStyle w:val="18"/>
        <w:spacing w:before="0" w:beforeAutospacing="0" w:after="0" w:afterAutospacing="0" w:line="440" w:lineRule="exact"/>
        <w:jc w:val="both"/>
        <w:rPr>
          <w:rFonts w:ascii="仿宋_GB2312" w:eastAsia="仿宋_GB2312"/>
          <w:color w:val="000000"/>
          <w:highlight w:val="none"/>
        </w:rPr>
      </w:pPr>
    </w:p>
    <w:p w14:paraId="0BEE2C22">
      <w:pPr>
        <w:rPr>
          <w:highlight w:val="none"/>
        </w:rPr>
      </w:pPr>
    </w:p>
    <w:p w14:paraId="653F2B14">
      <w:pPr>
        <w:spacing w:line="360" w:lineRule="auto"/>
        <w:ind w:left="420" w:hanging="420"/>
        <w:jc w:val="center"/>
        <w:rPr>
          <w:rFonts w:hint="eastAsia" w:ascii="宋体" w:hAnsi="宋体" w:eastAsia="宋体" w:cs="宋体"/>
          <w:b/>
          <w:color w:val="auto"/>
          <w:kern w:val="0"/>
          <w:sz w:val="32"/>
          <w:szCs w:val="32"/>
          <w:highlight w:val="none"/>
        </w:rPr>
      </w:pPr>
    </w:p>
    <w:p w14:paraId="23EECDE5">
      <w:pPr>
        <w:spacing w:line="360" w:lineRule="auto"/>
        <w:ind w:left="420" w:hanging="420"/>
        <w:jc w:val="center"/>
        <w:rPr>
          <w:rFonts w:hint="eastAsia" w:ascii="宋体" w:hAnsi="宋体" w:eastAsia="宋体" w:cs="宋体"/>
          <w:b/>
          <w:color w:val="auto"/>
          <w:kern w:val="0"/>
          <w:sz w:val="32"/>
          <w:szCs w:val="32"/>
          <w:highlight w:val="none"/>
        </w:rPr>
      </w:pPr>
    </w:p>
    <w:p w14:paraId="4C33B698">
      <w:pPr>
        <w:spacing w:line="360" w:lineRule="auto"/>
        <w:jc w:val="center"/>
        <w:rPr>
          <w:rFonts w:hint="eastAsia" w:ascii="宋体" w:hAnsi="宋体" w:eastAsia="宋体" w:cs="宋体"/>
          <w:color w:val="auto"/>
          <w:sz w:val="32"/>
          <w:szCs w:val="32"/>
          <w:highlight w:val="none"/>
        </w:rPr>
      </w:pPr>
    </w:p>
    <w:p w14:paraId="0C81AF80">
      <w:pPr>
        <w:spacing w:line="360" w:lineRule="auto"/>
        <w:jc w:val="center"/>
        <w:rPr>
          <w:rFonts w:hint="eastAsia" w:ascii="宋体" w:hAnsi="宋体" w:eastAsia="宋体" w:cs="宋体"/>
          <w:color w:val="auto"/>
          <w:sz w:val="32"/>
          <w:szCs w:val="32"/>
          <w:highlight w:val="none"/>
        </w:rPr>
      </w:pPr>
    </w:p>
    <w:p w14:paraId="2CE088B3">
      <w:pPr>
        <w:spacing w:line="360" w:lineRule="auto"/>
        <w:jc w:val="center"/>
        <w:rPr>
          <w:rFonts w:hint="eastAsia" w:ascii="宋体" w:hAnsi="宋体" w:eastAsia="宋体" w:cs="宋体"/>
          <w:color w:val="auto"/>
          <w:sz w:val="32"/>
          <w:szCs w:val="32"/>
          <w:highlight w:val="none"/>
        </w:rPr>
      </w:pPr>
    </w:p>
    <w:p w14:paraId="522CE589">
      <w:pPr>
        <w:spacing w:line="360" w:lineRule="auto"/>
        <w:jc w:val="center"/>
        <w:rPr>
          <w:rFonts w:hint="eastAsia" w:ascii="宋体" w:hAnsi="宋体" w:eastAsia="宋体" w:cs="宋体"/>
          <w:color w:val="auto"/>
          <w:sz w:val="32"/>
          <w:szCs w:val="32"/>
          <w:highlight w:val="none"/>
        </w:rPr>
      </w:pPr>
    </w:p>
    <w:p w14:paraId="0DD71588">
      <w:pPr>
        <w:spacing w:line="360" w:lineRule="auto"/>
        <w:jc w:val="center"/>
        <w:rPr>
          <w:rFonts w:hint="eastAsia" w:ascii="宋体" w:hAnsi="宋体" w:eastAsia="宋体" w:cs="宋体"/>
          <w:color w:val="auto"/>
          <w:sz w:val="32"/>
          <w:szCs w:val="32"/>
          <w:highlight w:val="none"/>
        </w:rPr>
      </w:pPr>
    </w:p>
    <w:p w14:paraId="507E987F">
      <w:pPr>
        <w:pStyle w:val="12"/>
        <w:spacing w:line="360" w:lineRule="auto"/>
        <w:rPr>
          <w:rFonts w:hint="eastAsia" w:ascii="宋体" w:hAnsi="宋体" w:eastAsia="宋体" w:cs="宋体"/>
          <w:color w:val="auto"/>
          <w:kern w:val="0"/>
          <w:sz w:val="44"/>
          <w:szCs w:val="44"/>
          <w:highlight w:val="none"/>
        </w:rPr>
      </w:pPr>
      <w:bookmarkStart w:id="93" w:name="_Toc1844"/>
      <w:bookmarkStart w:id="94" w:name="_Toc476258673"/>
      <w:r>
        <w:rPr>
          <w:rFonts w:hint="eastAsia" w:ascii="宋体" w:hAnsi="宋体" w:eastAsia="宋体" w:cs="宋体"/>
          <w:color w:val="auto"/>
          <w:kern w:val="0"/>
          <w:sz w:val="44"/>
          <w:szCs w:val="44"/>
          <w:highlight w:val="none"/>
        </w:rPr>
        <w:t>第六章  评标标准</w:t>
      </w:r>
      <w:bookmarkEnd w:id="93"/>
      <w:bookmarkEnd w:id="94"/>
    </w:p>
    <w:p w14:paraId="2D94E7B9">
      <w:pPr>
        <w:pStyle w:val="8"/>
        <w:spacing w:line="360" w:lineRule="auto"/>
        <w:rPr>
          <w:rFonts w:hint="eastAsia" w:ascii="宋体" w:hAnsi="宋体" w:eastAsia="宋体" w:cs="宋体"/>
          <w:b/>
          <w:color w:val="auto"/>
          <w:kern w:val="0"/>
          <w:sz w:val="32"/>
          <w:szCs w:val="32"/>
          <w:highlight w:val="none"/>
        </w:rPr>
      </w:pPr>
    </w:p>
    <w:p w14:paraId="4ABADEFB">
      <w:pPr>
        <w:pStyle w:val="8"/>
        <w:spacing w:line="360" w:lineRule="auto"/>
        <w:rPr>
          <w:rFonts w:hint="eastAsia" w:ascii="宋体" w:hAnsi="宋体" w:eastAsia="宋体" w:cs="宋体"/>
          <w:b/>
          <w:color w:val="auto"/>
          <w:kern w:val="0"/>
          <w:sz w:val="32"/>
          <w:szCs w:val="32"/>
          <w:highlight w:val="none"/>
        </w:rPr>
      </w:pPr>
    </w:p>
    <w:p w14:paraId="1A9D1E35">
      <w:pPr>
        <w:pStyle w:val="8"/>
        <w:spacing w:line="360" w:lineRule="auto"/>
        <w:rPr>
          <w:rFonts w:hint="eastAsia" w:ascii="宋体" w:hAnsi="宋体" w:eastAsia="宋体" w:cs="宋体"/>
          <w:b/>
          <w:color w:val="auto"/>
          <w:kern w:val="0"/>
          <w:sz w:val="32"/>
          <w:szCs w:val="32"/>
          <w:highlight w:val="none"/>
        </w:rPr>
      </w:pPr>
    </w:p>
    <w:p w14:paraId="32CFA814">
      <w:pPr>
        <w:pStyle w:val="8"/>
        <w:spacing w:line="360" w:lineRule="auto"/>
        <w:rPr>
          <w:rFonts w:hint="eastAsia" w:ascii="宋体" w:hAnsi="宋体" w:eastAsia="宋体" w:cs="宋体"/>
          <w:b/>
          <w:color w:val="auto"/>
          <w:kern w:val="0"/>
          <w:sz w:val="32"/>
          <w:szCs w:val="32"/>
          <w:highlight w:val="none"/>
        </w:rPr>
      </w:pPr>
    </w:p>
    <w:p w14:paraId="276370AC">
      <w:pPr>
        <w:pStyle w:val="8"/>
        <w:spacing w:line="360" w:lineRule="auto"/>
        <w:rPr>
          <w:rFonts w:hint="eastAsia" w:ascii="宋体" w:hAnsi="宋体" w:eastAsia="宋体" w:cs="宋体"/>
          <w:b/>
          <w:color w:val="auto"/>
          <w:kern w:val="0"/>
          <w:highlight w:val="none"/>
        </w:rPr>
      </w:pPr>
    </w:p>
    <w:p w14:paraId="24CCB6FF">
      <w:pPr>
        <w:pStyle w:val="8"/>
        <w:spacing w:line="360" w:lineRule="auto"/>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r>
        <w:rPr>
          <w:rFonts w:hint="eastAsia" w:ascii="宋体" w:hAnsi="宋体" w:eastAsia="宋体" w:cs="宋体"/>
          <w:b/>
          <w:color w:val="auto"/>
          <w:kern w:val="0"/>
          <w:sz w:val="32"/>
          <w:szCs w:val="32"/>
          <w:highlight w:val="none"/>
        </w:rPr>
        <w:t>评标标准</w:t>
      </w:r>
    </w:p>
    <w:p w14:paraId="1FCD3FD3">
      <w:pPr>
        <w:pStyle w:val="11"/>
        <w:spacing w:line="360" w:lineRule="auto"/>
        <w:ind w:left="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一、评标原则</w:t>
      </w:r>
    </w:p>
    <w:p w14:paraId="145D38B7">
      <w:pPr>
        <w:pStyle w:val="11"/>
        <w:spacing w:line="360" w:lineRule="auto"/>
        <w:ind w:left="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    （一）磋商小组成员组成：本竞争性磋商采购项目的磋商小组由采购人代表和评审专家共三人以上的单数组成（达到公开招标数额标准以上的项目，竞争性磋商小组成员由五人以上单数组成）。其中，评审专家不得少于成员总数的三分之二。</w:t>
      </w:r>
    </w:p>
    <w:p w14:paraId="3FC5B92F">
      <w:pPr>
        <w:spacing w:line="360" w:lineRule="auto"/>
        <w:rPr>
          <w:rFonts w:hint="eastAsia" w:ascii="宋体" w:hAnsi="宋体" w:eastAsia="宋体" w:cs="宋体"/>
          <w:b/>
          <w:color w:val="auto"/>
          <w:highlight w:val="none"/>
        </w:rPr>
      </w:pPr>
      <w:r>
        <w:rPr>
          <w:rFonts w:hint="eastAsia" w:ascii="宋体" w:hAnsi="宋体" w:eastAsia="宋体" w:cs="宋体"/>
          <w:bCs/>
          <w:color w:val="auto"/>
          <w:szCs w:val="21"/>
          <w:highlight w:val="none"/>
        </w:rPr>
        <w:t xml:space="preserve">    （二）评标依据：评委将以竞争性磋商文件和竞争性磋商响应文件为评标依据，对供应商的报价、技术、</w:t>
      </w:r>
      <w:r>
        <w:rPr>
          <w:rFonts w:hint="eastAsia" w:ascii="宋体" w:hAnsi="宋体" w:eastAsia="宋体" w:cs="宋体"/>
          <w:bCs/>
          <w:color w:val="auto"/>
          <w:szCs w:val="21"/>
          <w:highlight w:val="none"/>
          <w:lang w:val="en-US" w:eastAsia="zh-CN"/>
        </w:rPr>
        <w:t>商务</w:t>
      </w:r>
      <w:r>
        <w:rPr>
          <w:rFonts w:hint="eastAsia" w:ascii="宋体" w:hAnsi="宋体" w:eastAsia="宋体" w:cs="宋体"/>
          <w:bCs/>
          <w:color w:val="auto"/>
          <w:szCs w:val="21"/>
          <w:highlight w:val="none"/>
        </w:rPr>
        <w:t>等内容按百分制打分。</w:t>
      </w:r>
    </w:p>
    <w:p w14:paraId="0BA515E9">
      <w:pPr>
        <w:pStyle w:val="11"/>
        <w:spacing w:line="360" w:lineRule="auto"/>
        <w:ind w:left="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（三）评标方式：以封闭方式进行。</w:t>
      </w:r>
    </w:p>
    <w:p w14:paraId="6AF7CFD5">
      <w:pPr>
        <w:pStyle w:val="11"/>
        <w:spacing w:line="360" w:lineRule="auto"/>
        <w:ind w:left="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二、评标方法</w:t>
      </w:r>
    </w:p>
    <w:p w14:paraId="40B7CBEC">
      <w:pPr>
        <w:pStyle w:val="11"/>
        <w:spacing w:line="360" w:lineRule="auto"/>
        <w:ind w:left="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（一）对进入详评的，采用百分制综合评分法。</w:t>
      </w:r>
    </w:p>
    <w:p w14:paraId="225F9E3F">
      <w:pPr>
        <w:pStyle w:val="11"/>
        <w:spacing w:line="360" w:lineRule="auto"/>
        <w:ind w:left="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（二）计分办法（按四舍五入取至百分位）：</w:t>
      </w:r>
    </w:p>
    <w:tbl>
      <w:tblPr>
        <w:tblStyle w:val="13"/>
        <w:tblW w:w="90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3"/>
        <w:gridCol w:w="1418"/>
        <w:gridCol w:w="6002"/>
        <w:gridCol w:w="1137"/>
      </w:tblGrid>
      <w:tr w14:paraId="49BC9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533" w:type="dxa"/>
            <w:noWrap w:val="0"/>
            <w:vAlign w:val="center"/>
          </w:tcPr>
          <w:p w14:paraId="135344F0">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序号</w:t>
            </w:r>
          </w:p>
        </w:tc>
        <w:tc>
          <w:tcPr>
            <w:tcW w:w="1418" w:type="dxa"/>
            <w:noWrap w:val="0"/>
            <w:vAlign w:val="center"/>
          </w:tcPr>
          <w:p w14:paraId="5AC2E94D">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c>
          <w:tcPr>
            <w:tcW w:w="6002" w:type="dxa"/>
            <w:noWrap w:val="0"/>
            <w:vAlign w:val="center"/>
          </w:tcPr>
          <w:p w14:paraId="63B58A63">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评审因素具体内容</w:t>
            </w:r>
          </w:p>
        </w:tc>
        <w:tc>
          <w:tcPr>
            <w:tcW w:w="1137" w:type="dxa"/>
            <w:noWrap w:val="0"/>
            <w:vAlign w:val="center"/>
          </w:tcPr>
          <w:p w14:paraId="2A7950A8">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分值</w:t>
            </w:r>
          </w:p>
        </w:tc>
      </w:tr>
      <w:tr w14:paraId="49373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1" w:hRule="atLeast"/>
          <w:jc w:val="center"/>
        </w:trPr>
        <w:tc>
          <w:tcPr>
            <w:tcW w:w="533" w:type="dxa"/>
            <w:noWrap w:val="0"/>
            <w:vAlign w:val="center"/>
          </w:tcPr>
          <w:p w14:paraId="69390D7D">
            <w:pPr>
              <w:widowControl/>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w:t>
            </w:r>
          </w:p>
        </w:tc>
        <w:tc>
          <w:tcPr>
            <w:tcW w:w="1418" w:type="dxa"/>
            <w:noWrap w:val="0"/>
            <w:vAlign w:val="center"/>
          </w:tcPr>
          <w:p w14:paraId="4B2D2255">
            <w:pPr>
              <w:widowControl/>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价格分</w:t>
            </w:r>
          </w:p>
        </w:tc>
        <w:tc>
          <w:tcPr>
            <w:tcW w:w="6002" w:type="dxa"/>
            <w:noWrap w:val="0"/>
            <w:vAlign w:val="top"/>
          </w:tcPr>
          <w:p w14:paraId="4A372AC8">
            <w:pPr>
              <w:pStyle w:val="8"/>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（1）满足磋商文件要求且最终报价最低的有效供应商的磋商报价为基准价，其报价分为满分。</w:t>
            </w:r>
          </w:p>
          <w:p w14:paraId="6D8378BB">
            <w:pPr>
              <w:pStyle w:val="8"/>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）价格分计算方式：</w:t>
            </w:r>
          </w:p>
          <w:p w14:paraId="13901AEC">
            <w:pPr>
              <w:pStyle w:val="8"/>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某有效供应商的报价分=（基准价／某有效供应商最终报价）×</w:t>
            </w:r>
            <w:r>
              <w:rPr>
                <w:rFonts w:hint="eastAsia" w:ascii="宋体" w:hAnsi="宋体" w:eastAsia="宋体" w:cs="宋体"/>
                <w:color w:val="auto"/>
                <w:highlight w:val="none"/>
                <w:lang w:val="en-US" w:eastAsia="zh-CN"/>
              </w:rPr>
              <w:t>3</w:t>
            </w:r>
            <w:r>
              <w:rPr>
                <w:rFonts w:hint="eastAsia" w:hAnsi="宋体" w:cs="宋体"/>
                <w:color w:val="auto"/>
                <w:highlight w:val="none"/>
                <w:lang w:val="en-US" w:eastAsia="zh-CN"/>
              </w:rPr>
              <w:t>0</w:t>
            </w:r>
            <w:r>
              <w:rPr>
                <w:rFonts w:hint="eastAsia" w:ascii="宋体" w:hAnsi="宋体" w:eastAsia="宋体" w:cs="宋体"/>
                <w:color w:val="auto"/>
                <w:highlight w:val="none"/>
              </w:rPr>
              <w:t>分。</w:t>
            </w:r>
          </w:p>
        </w:tc>
        <w:tc>
          <w:tcPr>
            <w:tcW w:w="1137" w:type="dxa"/>
            <w:noWrap w:val="0"/>
            <w:vAlign w:val="center"/>
          </w:tcPr>
          <w:p w14:paraId="34084FF1">
            <w:pPr>
              <w:widowControl/>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满分</w:t>
            </w:r>
            <w:r>
              <w:rPr>
                <w:rFonts w:hint="eastAsia" w:ascii="宋体" w:hAnsi="宋体" w:eastAsia="宋体" w:cs="宋体"/>
                <w:color w:val="auto"/>
                <w:kern w:val="0"/>
                <w:szCs w:val="21"/>
                <w:highlight w:val="none"/>
                <w:lang w:val="en-US" w:eastAsia="zh-CN"/>
              </w:rPr>
              <w:t>3</w:t>
            </w:r>
            <w:r>
              <w:rPr>
                <w:rFonts w:hint="eastAsia" w:ascii="宋体" w:hAnsi="宋体" w:cs="宋体"/>
                <w:color w:val="auto"/>
                <w:kern w:val="0"/>
                <w:szCs w:val="21"/>
                <w:highlight w:val="none"/>
                <w:lang w:val="en-US" w:eastAsia="zh-CN"/>
              </w:rPr>
              <w:t>0</w:t>
            </w:r>
            <w:r>
              <w:rPr>
                <w:rFonts w:hint="eastAsia" w:ascii="宋体" w:hAnsi="宋体" w:eastAsia="宋体" w:cs="宋体"/>
                <w:color w:val="auto"/>
                <w:kern w:val="0"/>
                <w:szCs w:val="21"/>
                <w:highlight w:val="none"/>
              </w:rPr>
              <w:t>分</w:t>
            </w:r>
          </w:p>
        </w:tc>
      </w:tr>
      <w:tr w14:paraId="40D14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533" w:type="dxa"/>
            <w:noWrap w:val="0"/>
            <w:vAlign w:val="center"/>
          </w:tcPr>
          <w:p w14:paraId="49F76134">
            <w:pPr>
              <w:widowControl/>
              <w:spacing w:line="360" w:lineRule="auto"/>
              <w:jc w:val="center"/>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w:t>
            </w:r>
          </w:p>
        </w:tc>
        <w:tc>
          <w:tcPr>
            <w:tcW w:w="1418" w:type="dxa"/>
            <w:noWrap w:val="0"/>
            <w:vAlign w:val="center"/>
          </w:tcPr>
          <w:p w14:paraId="01368152">
            <w:pPr>
              <w:adjustRightInd w:val="0"/>
              <w:spacing w:line="360" w:lineRule="auto"/>
              <w:jc w:val="center"/>
              <w:textAlignment w:val="baseline"/>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技术分</w:t>
            </w:r>
          </w:p>
        </w:tc>
        <w:tc>
          <w:tcPr>
            <w:tcW w:w="6002" w:type="dxa"/>
            <w:noWrap w:val="0"/>
            <w:vAlign w:val="center"/>
          </w:tcPr>
          <w:p w14:paraId="071DBC56">
            <w:pPr>
              <w:adjustRightInd w:val="0"/>
              <w:spacing w:line="360" w:lineRule="auto"/>
              <w:jc w:val="center"/>
              <w:textAlignment w:val="baseline"/>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评审因素</w:t>
            </w:r>
          </w:p>
        </w:tc>
        <w:tc>
          <w:tcPr>
            <w:tcW w:w="1137" w:type="dxa"/>
            <w:noWrap w:val="0"/>
            <w:vAlign w:val="center"/>
          </w:tcPr>
          <w:p w14:paraId="15F75791">
            <w:pPr>
              <w:adjustRightInd w:val="0"/>
              <w:spacing w:line="360" w:lineRule="auto"/>
              <w:jc w:val="center"/>
              <w:textAlignment w:val="baseline"/>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满分</w:t>
            </w:r>
            <w:r>
              <w:rPr>
                <w:rFonts w:hint="eastAsia" w:ascii="宋体" w:hAnsi="宋体" w:cs="宋体"/>
                <w:b/>
                <w:color w:val="auto"/>
                <w:kern w:val="0"/>
                <w:szCs w:val="21"/>
                <w:highlight w:val="none"/>
                <w:lang w:val="en-US" w:eastAsia="zh-CN"/>
              </w:rPr>
              <w:t>60</w:t>
            </w:r>
            <w:r>
              <w:rPr>
                <w:rFonts w:hint="eastAsia" w:ascii="宋体" w:hAnsi="宋体" w:eastAsia="宋体" w:cs="宋体"/>
                <w:b/>
                <w:color w:val="auto"/>
                <w:kern w:val="0"/>
                <w:szCs w:val="21"/>
                <w:highlight w:val="none"/>
              </w:rPr>
              <w:t>分</w:t>
            </w:r>
          </w:p>
        </w:tc>
      </w:tr>
      <w:tr w14:paraId="309A5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 w:type="dxa"/>
            <w:noWrap w:val="0"/>
            <w:vAlign w:val="center"/>
          </w:tcPr>
          <w:p w14:paraId="4A71B7AA">
            <w:pPr>
              <w:adjustRightInd w:val="0"/>
              <w:spacing w:line="360" w:lineRule="auto"/>
              <w:ind w:left="-105" w:leftChars="-50" w:right="-105" w:rightChars="-50"/>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2.1</w:t>
            </w:r>
          </w:p>
        </w:tc>
        <w:tc>
          <w:tcPr>
            <w:tcW w:w="1418" w:type="dxa"/>
            <w:noWrap w:val="0"/>
            <w:vAlign w:val="center"/>
          </w:tcPr>
          <w:p w14:paraId="480BE651">
            <w:pPr>
              <w:adjustRightInd w:val="0"/>
              <w:snapToGrid w:val="0"/>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整体服务方案</w:t>
            </w:r>
          </w:p>
        </w:tc>
        <w:tc>
          <w:tcPr>
            <w:tcW w:w="6002" w:type="dxa"/>
            <w:noWrap w:val="0"/>
            <w:vAlign w:val="center"/>
          </w:tcPr>
          <w:p w14:paraId="57AB3592">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根据投标人针对本金融类国企主体评级、年度跟踪评级编制的专项服务方案评审：</w:t>
            </w:r>
          </w:p>
          <w:p w14:paraId="45AA2D22">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无方案：0分</w:t>
            </w:r>
          </w:p>
          <w:p w14:paraId="65BCBF7F">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一档（</w:t>
            </w:r>
            <w:r>
              <w:rPr>
                <w:rFonts w:hint="eastAsia" w:ascii="宋体" w:hAnsi="宋体" w:cs="宋体"/>
                <w:color w:val="auto"/>
                <w:highlight w:val="none"/>
                <w:lang w:val="en-US" w:eastAsia="zh-CN"/>
              </w:rPr>
              <w:t>10</w:t>
            </w:r>
            <w:r>
              <w:rPr>
                <w:rFonts w:hint="eastAsia" w:ascii="宋体" w:hAnsi="宋体" w:eastAsia="宋体" w:cs="宋体"/>
                <w:color w:val="auto"/>
                <w:highlight w:val="none"/>
                <w:lang w:val="en-US" w:eastAsia="zh-CN"/>
              </w:rPr>
              <w:t>分）：</w:t>
            </w:r>
            <w:r>
              <w:rPr>
                <w:rFonts w:hint="eastAsia" w:ascii="宋体" w:hAnsi="宋体" w:eastAsia="宋体" w:cs="宋体"/>
                <w:color w:val="auto"/>
                <w:highlight w:val="none"/>
              </w:rPr>
              <w:t>方案简单笼统、无针对性、通用模板</w:t>
            </w:r>
            <w:r>
              <w:rPr>
                <w:rFonts w:hint="eastAsia" w:ascii="宋体" w:hAnsi="宋体" w:eastAsia="宋体" w:cs="宋体"/>
                <w:color w:val="auto"/>
                <w:highlight w:val="none"/>
                <w:lang w:eastAsia="zh-CN"/>
              </w:rPr>
              <w:t>；</w:t>
            </w:r>
          </w:p>
          <w:p w14:paraId="75B9B232">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二档（1</w:t>
            </w:r>
            <w:r>
              <w:rPr>
                <w:rFonts w:hint="eastAsia" w:ascii="宋体" w:hAnsi="宋体" w:cs="宋体"/>
                <w:color w:val="auto"/>
                <w:highlight w:val="none"/>
                <w:lang w:val="en-US" w:eastAsia="zh-CN"/>
              </w:rPr>
              <w:t>5</w:t>
            </w:r>
            <w:r>
              <w:rPr>
                <w:rFonts w:hint="eastAsia" w:ascii="宋体" w:hAnsi="宋体" w:eastAsia="宋体" w:cs="宋体"/>
                <w:color w:val="auto"/>
                <w:highlight w:val="none"/>
                <w:lang w:val="en-US" w:eastAsia="zh-CN"/>
              </w:rPr>
              <w:t>分）：</w:t>
            </w:r>
            <w:r>
              <w:rPr>
                <w:rFonts w:hint="eastAsia" w:ascii="宋体" w:hAnsi="宋体" w:eastAsia="宋体" w:cs="宋体"/>
                <w:color w:val="auto"/>
                <w:highlight w:val="none"/>
              </w:rPr>
              <w:t>方案基本完整、流程清晰、针对性一般</w:t>
            </w:r>
            <w:r>
              <w:rPr>
                <w:rFonts w:hint="eastAsia" w:ascii="宋体" w:hAnsi="宋体" w:eastAsia="宋体" w:cs="宋体"/>
                <w:color w:val="auto"/>
                <w:highlight w:val="none"/>
                <w:lang w:eastAsia="zh-CN"/>
              </w:rPr>
              <w:t>；</w:t>
            </w:r>
          </w:p>
          <w:p w14:paraId="20D511CA">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三档（</w:t>
            </w:r>
            <w:r>
              <w:rPr>
                <w:rFonts w:hint="eastAsia" w:ascii="宋体" w:hAnsi="宋体" w:cs="宋体"/>
                <w:color w:val="auto"/>
                <w:highlight w:val="none"/>
                <w:lang w:val="en-US" w:eastAsia="zh-CN"/>
              </w:rPr>
              <w:t>20</w:t>
            </w:r>
            <w:r>
              <w:rPr>
                <w:rFonts w:hint="eastAsia" w:ascii="宋体" w:hAnsi="宋体" w:eastAsia="宋体" w:cs="宋体"/>
                <w:color w:val="auto"/>
                <w:highlight w:val="none"/>
              </w:rPr>
              <w:t>分</w:t>
            </w:r>
            <w:r>
              <w:rPr>
                <w:rFonts w:hint="eastAsia" w:ascii="宋体" w:hAnsi="宋体" w:eastAsia="宋体" w:cs="宋体"/>
                <w:color w:val="auto"/>
                <w:highlight w:val="none"/>
                <w:lang w:val="en-US" w:eastAsia="zh-CN"/>
              </w:rPr>
              <w:t>）：</w:t>
            </w:r>
            <w:r>
              <w:rPr>
                <w:rFonts w:hint="eastAsia" w:ascii="宋体" w:hAnsi="宋体" w:eastAsia="宋体" w:cs="宋体"/>
                <w:color w:val="auto"/>
                <w:highlight w:val="none"/>
              </w:rPr>
              <w:t>方案逻辑完整、贴合金融企业监管要求、工作流程细化、覆盖初评、尽调、报告编制、内审复核、出稿、备案、跟踪全流程</w:t>
            </w:r>
            <w:r>
              <w:rPr>
                <w:rFonts w:hint="eastAsia" w:ascii="宋体" w:hAnsi="宋体" w:eastAsia="宋体" w:cs="宋体"/>
                <w:color w:val="auto"/>
                <w:highlight w:val="none"/>
                <w:lang w:eastAsia="zh-CN"/>
              </w:rPr>
              <w:t>。</w:t>
            </w:r>
          </w:p>
        </w:tc>
        <w:tc>
          <w:tcPr>
            <w:tcW w:w="1137" w:type="dxa"/>
            <w:noWrap w:val="0"/>
            <w:vAlign w:val="center"/>
          </w:tcPr>
          <w:p w14:paraId="6F3D52D0">
            <w:pPr>
              <w:spacing w:line="360" w:lineRule="auto"/>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20</w:t>
            </w:r>
          </w:p>
        </w:tc>
      </w:tr>
      <w:tr w14:paraId="7166E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33" w:type="dxa"/>
            <w:noWrap w:val="0"/>
            <w:vAlign w:val="center"/>
          </w:tcPr>
          <w:p w14:paraId="04FA7F89">
            <w:pPr>
              <w:adjustRightInd w:val="0"/>
              <w:spacing w:line="360" w:lineRule="auto"/>
              <w:ind w:left="-105" w:leftChars="-50" w:right="-105" w:rightChars="-50"/>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2.2</w:t>
            </w:r>
          </w:p>
        </w:tc>
        <w:tc>
          <w:tcPr>
            <w:tcW w:w="1418" w:type="dxa"/>
            <w:noWrap w:val="0"/>
            <w:vAlign w:val="center"/>
          </w:tcPr>
          <w:p w14:paraId="3333C59F">
            <w:pPr>
              <w:adjustRightInd w:val="0"/>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尽职调查与评级质量控制体系</w:t>
            </w:r>
          </w:p>
        </w:tc>
        <w:tc>
          <w:tcPr>
            <w:tcW w:w="6002" w:type="dxa"/>
            <w:noWrap w:val="0"/>
            <w:vAlign w:val="center"/>
          </w:tcPr>
          <w:p w14:paraId="3D13D7D8">
            <w:pPr>
              <w:spacing w:line="360" w:lineRule="auto"/>
              <w:ind w:firstLine="420" w:firstLineChars="200"/>
              <w:rPr>
                <w:rFonts w:hint="eastAsia" w:ascii="宋体" w:hAnsi="宋体" w:eastAsia="宋体" w:cs="宋体"/>
                <w:b w:val="0"/>
                <w:bCs w:val="0"/>
                <w:color w:val="auto"/>
                <w:kern w:val="0"/>
                <w:szCs w:val="21"/>
                <w:highlight w:val="none"/>
                <w:lang w:bidi="ar"/>
              </w:rPr>
            </w:pPr>
            <w:r>
              <w:rPr>
                <w:rFonts w:hint="eastAsia" w:ascii="宋体" w:hAnsi="宋体" w:eastAsia="宋体" w:cs="宋体"/>
                <w:b w:val="0"/>
                <w:bCs w:val="0"/>
                <w:color w:val="auto"/>
                <w:kern w:val="0"/>
                <w:szCs w:val="21"/>
                <w:highlight w:val="none"/>
                <w:lang w:bidi="ar"/>
              </w:rPr>
              <w:t>重点评审：尽调清单、资料核查机制、现场尽调安排、内部三级审核、质量风控、合规审查、数据校验机制。</w:t>
            </w:r>
          </w:p>
          <w:p w14:paraId="5AE8F5D6">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无相关内容：0分</w:t>
            </w:r>
          </w:p>
          <w:p w14:paraId="64145872">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一档（5分）：内容简略、无具体质控措施；</w:t>
            </w:r>
          </w:p>
          <w:p w14:paraId="00B9D3E4">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二档（10分）：体系基本齐全、内容常规；</w:t>
            </w:r>
          </w:p>
          <w:p w14:paraId="7E3E5AF0">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三档（</w:t>
            </w:r>
            <w:r>
              <w:rPr>
                <w:rFonts w:hint="eastAsia" w:ascii="宋体" w:hAnsi="宋体" w:eastAsia="宋体" w:cs="宋体"/>
                <w:color w:val="auto"/>
                <w:highlight w:val="none"/>
              </w:rPr>
              <w:t>15分</w:t>
            </w:r>
            <w:r>
              <w:rPr>
                <w:rFonts w:hint="eastAsia" w:ascii="宋体" w:hAnsi="宋体" w:eastAsia="宋体" w:cs="宋体"/>
                <w:color w:val="auto"/>
                <w:highlight w:val="none"/>
                <w:lang w:val="en-US" w:eastAsia="zh-CN"/>
              </w:rPr>
              <w:t>）：体系完善、贴合金融企业风控标准、流程严谨可落地。</w:t>
            </w:r>
          </w:p>
        </w:tc>
        <w:tc>
          <w:tcPr>
            <w:tcW w:w="1137" w:type="dxa"/>
            <w:noWrap w:val="0"/>
            <w:vAlign w:val="center"/>
          </w:tcPr>
          <w:p w14:paraId="312C333C">
            <w:pPr>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15</w:t>
            </w:r>
          </w:p>
        </w:tc>
      </w:tr>
      <w:tr w14:paraId="3AE3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3" w:type="dxa"/>
            <w:noWrap w:val="0"/>
            <w:vAlign w:val="center"/>
          </w:tcPr>
          <w:p w14:paraId="6EF74E58">
            <w:pPr>
              <w:adjustRightInd w:val="0"/>
              <w:spacing w:line="360" w:lineRule="auto"/>
              <w:ind w:left="-105" w:leftChars="-50" w:right="-105" w:rightChars="-50"/>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2.3</w:t>
            </w:r>
          </w:p>
        </w:tc>
        <w:tc>
          <w:tcPr>
            <w:tcW w:w="1418" w:type="dxa"/>
            <w:noWrap w:val="0"/>
            <w:vAlign w:val="center"/>
          </w:tcPr>
          <w:p w14:paraId="260EDB89">
            <w:pP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跟踪评级、后续服务与响应机制</w:t>
            </w:r>
          </w:p>
        </w:tc>
        <w:tc>
          <w:tcPr>
            <w:tcW w:w="6002" w:type="dxa"/>
            <w:noWrap w:val="0"/>
            <w:vAlign w:val="top"/>
          </w:tcPr>
          <w:p w14:paraId="5179AA6C">
            <w:pPr>
              <w:spacing w:line="360" w:lineRule="auto"/>
              <w:ind w:firstLine="420" w:firstLineChars="200"/>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评审年度跟踪评级、答疑辅导、融资配套、报告修正、监管服务</w:t>
            </w:r>
          </w:p>
          <w:p w14:paraId="29093893">
            <w:pPr>
              <w:spacing w:line="360" w:lineRule="auto"/>
              <w:ind w:firstLine="420" w:firstLineChars="200"/>
              <w:rPr>
                <w:rFonts w:hint="eastAsia" w:ascii="宋体" w:hAnsi="宋体" w:eastAsia="宋体" w:cs="宋体"/>
                <w:color w:val="auto"/>
                <w:kern w:val="0"/>
                <w:szCs w:val="21"/>
                <w:highlight w:val="none"/>
                <w:lang w:bidi="ar"/>
              </w:rPr>
            </w:pPr>
            <w:r>
              <w:rPr>
                <w:rFonts w:hint="eastAsia" w:ascii="宋体" w:hAnsi="宋体" w:eastAsia="宋体" w:cs="宋体"/>
                <w:color w:val="auto"/>
                <w:kern w:val="0"/>
                <w:szCs w:val="21"/>
                <w:highlight w:val="none"/>
                <w:lang w:bidi="ar"/>
              </w:rPr>
              <w:t>无后续服务说明：0分</w:t>
            </w:r>
          </w:p>
          <w:p w14:paraId="4B9AE983">
            <w:pPr>
              <w:spacing w:line="360" w:lineRule="auto"/>
              <w:ind w:firstLine="420" w:firstLineChars="200"/>
              <w:rPr>
                <w:rFonts w:hint="eastAsia" w:ascii="宋体" w:hAnsi="宋体" w:eastAsia="宋体" w:cs="宋体"/>
                <w:color w:val="auto"/>
                <w:kern w:val="0"/>
                <w:szCs w:val="21"/>
                <w:highlight w:val="none"/>
                <w:lang w:bidi="ar"/>
              </w:rPr>
            </w:pPr>
            <w:r>
              <w:rPr>
                <w:rFonts w:hint="eastAsia" w:ascii="宋体" w:hAnsi="宋体" w:eastAsia="宋体" w:cs="宋体"/>
                <w:color w:val="auto"/>
                <w:highlight w:val="none"/>
                <w:lang w:val="en-US" w:eastAsia="zh-CN"/>
              </w:rPr>
              <w:t>一档（3分）：服务内容简单、无时效承诺；</w:t>
            </w:r>
          </w:p>
          <w:p w14:paraId="32B77138">
            <w:pPr>
              <w:spacing w:line="360" w:lineRule="auto"/>
              <w:ind w:firstLine="420" w:firstLineChars="200"/>
              <w:rPr>
                <w:rFonts w:hint="eastAsia" w:ascii="宋体" w:hAnsi="宋体" w:eastAsia="宋体" w:cs="宋体"/>
                <w:color w:val="auto"/>
                <w:kern w:val="0"/>
                <w:szCs w:val="21"/>
                <w:highlight w:val="none"/>
                <w:lang w:bidi="ar"/>
              </w:rPr>
            </w:pPr>
            <w:r>
              <w:rPr>
                <w:rFonts w:hint="eastAsia" w:ascii="宋体" w:hAnsi="宋体" w:eastAsia="宋体" w:cs="宋体"/>
                <w:color w:val="auto"/>
                <w:highlight w:val="none"/>
                <w:lang w:val="en-US" w:eastAsia="zh-CN"/>
              </w:rPr>
              <w:t>二档（6分）：服务内容完整、有基本响应机制</w:t>
            </w:r>
          </w:p>
          <w:p w14:paraId="75D26151">
            <w:pPr>
              <w:spacing w:line="360" w:lineRule="auto"/>
              <w:ind w:firstLine="420" w:firstLineChars="200"/>
              <w:rPr>
                <w:rFonts w:hint="eastAsia" w:ascii="宋体" w:hAnsi="宋体" w:eastAsia="宋体" w:cs="宋体"/>
                <w:color w:val="auto"/>
                <w:kern w:val="0"/>
                <w:szCs w:val="21"/>
                <w:highlight w:val="none"/>
                <w:lang w:val="en-US" w:bidi="ar"/>
              </w:rPr>
            </w:pPr>
            <w:r>
              <w:rPr>
                <w:rFonts w:hint="eastAsia" w:ascii="宋体" w:hAnsi="宋体" w:eastAsia="宋体" w:cs="宋体"/>
                <w:color w:val="auto"/>
                <w:highlight w:val="none"/>
                <w:lang w:val="en-US" w:eastAsia="zh-CN"/>
              </w:rPr>
              <w:t>三档（9</w:t>
            </w:r>
            <w:r>
              <w:rPr>
                <w:rFonts w:hint="eastAsia" w:ascii="宋体" w:hAnsi="宋体" w:eastAsia="宋体" w:cs="宋体"/>
                <w:color w:val="auto"/>
                <w:highlight w:val="none"/>
              </w:rPr>
              <w:t>分</w:t>
            </w:r>
            <w:r>
              <w:rPr>
                <w:rFonts w:hint="eastAsia" w:ascii="宋体" w:hAnsi="宋体" w:eastAsia="宋体" w:cs="宋体"/>
                <w:color w:val="auto"/>
                <w:highlight w:val="none"/>
                <w:lang w:val="en-US" w:eastAsia="zh-CN"/>
              </w:rPr>
              <w:t>）：服务体系完善、响应时效明确、售后机制健全、适配国企常年融资需求。</w:t>
            </w:r>
          </w:p>
        </w:tc>
        <w:tc>
          <w:tcPr>
            <w:tcW w:w="1137" w:type="dxa"/>
            <w:noWrap w:val="0"/>
            <w:vAlign w:val="center"/>
          </w:tcPr>
          <w:p w14:paraId="29FBF8E3">
            <w:pPr>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9</w:t>
            </w:r>
          </w:p>
        </w:tc>
      </w:tr>
      <w:tr w14:paraId="70C8E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noWrap w:val="0"/>
            <w:vAlign w:val="center"/>
          </w:tcPr>
          <w:p w14:paraId="5F5BDC40">
            <w:pPr>
              <w:adjustRightInd w:val="0"/>
              <w:spacing w:line="360" w:lineRule="auto"/>
              <w:ind w:left="-105" w:leftChars="-50" w:right="-105" w:rightChars="-50"/>
              <w:jc w:val="center"/>
              <w:textAlignment w:val="baseline"/>
              <w:rPr>
                <w:rFonts w:hint="eastAsia" w:ascii="宋体" w:hAnsi="宋体" w:eastAsia="宋体" w:cs="宋体"/>
                <w:bCs/>
                <w:color w:val="auto"/>
                <w:kern w:val="0"/>
                <w:szCs w:val="21"/>
                <w:highlight w:val="none"/>
              </w:rPr>
            </w:pPr>
            <w:r>
              <w:rPr>
                <w:rFonts w:hint="eastAsia" w:ascii="宋体" w:hAnsi="宋体" w:eastAsia="宋体" w:cs="宋体"/>
                <w:bCs/>
                <w:color w:val="auto"/>
                <w:kern w:val="0"/>
                <w:szCs w:val="21"/>
                <w:highlight w:val="none"/>
              </w:rPr>
              <w:t>2.4</w:t>
            </w:r>
          </w:p>
        </w:tc>
        <w:tc>
          <w:tcPr>
            <w:tcW w:w="1418" w:type="dxa"/>
            <w:noWrap w:val="0"/>
            <w:vAlign w:val="center"/>
          </w:tcPr>
          <w:p w14:paraId="731D3D43">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保密管理、廉政与风险防控方案</w:t>
            </w:r>
          </w:p>
        </w:tc>
        <w:tc>
          <w:tcPr>
            <w:tcW w:w="6002" w:type="dxa"/>
            <w:noWrap w:val="0"/>
            <w:vAlign w:val="center"/>
          </w:tcPr>
          <w:p w14:paraId="7F2E44DB">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针对国企涉密财务数据、经营数据、融资计划数据的保密制度、数据隔离、人员保密承诺、信息安全机制、廉政执业制度：</w:t>
            </w:r>
          </w:p>
          <w:p w14:paraId="660E315C">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无内容：0分</w:t>
            </w:r>
          </w:p>
          <w:p w14:paraId="134F9A73">
            <w:pPr>
              <w:spacing w:line="360" w:lineRule="auto"/>
              <w:ind w:firstLine="420" w:firstLineChars="200"/>
              <w:rPr>
                <w:rFonts w:hint="eastAsia" w:ascii="宋体" w:hAnsi="宋体" w:eastAsia="宋体" w:cs="宋体"/>
                <w:color w:val="auto"/>
                <w:kern w:val="0"/>
                <w:szCs w:val="21"/>
                <w:highlight w:val="none"/>
                <w:lang w:bidi="ar"/>
              </w:rPr>
            </w:pPr>
            <w:r>
              <w:rPr>
                <w:rFonts w:hint="eastAsia" w:ascii="宋体" w:hAnsi="宋体" w:eastAsia="宋体" w:cs="宋体"/>
                <w:color w:val="auto"/>
                <w:highlight w:val="none"/>
                <w:lang w:val="en-US" w:eastAsia="zh-CN"/>
              </w:rPr>
              <w:t>一档（3分）：内容简单；</w:t>
            </w:r>
          </w:p>
          <w:p w14:paraId="5A8C8822">
            <w:pPr>
              <w:spacing w:line="360" w:lineRule="auto"/>
              <w:ind w:firstLine="420" w:firstLineChars="200"/>
              <w:rPr>
                <w:rFonts w:hint="eastAsia" w:ascii="宋体" w:hAnsi="宋体" w:eastAsia="宋体" w:cs="宋体"/>
                <w:color w:val="auto"/>
                <w:kern w:val="0"/>
                <w:szCs w:val="21"/>
                <w:highlight w:val="none"/>
                <w:lang w:bidi="ar"/>
              </w:rPr>
            </w:pPr>
            <w:r>
              <w:rPr>
                <w:rFonts w:hint="eastAsia" w:ascii="宋体" w:hAnsi="宋体" w:eastAsia="宋体" w:cs="宋体"/>
                <w:color w:val="auto"/>
                <w:highlight w:val="none"/>
                <w:lang w:val="en-US" w:eastAsia="zh-CN"/>
              </w:rPr>
              <w:t>二档（6分）：有基本制度、内容常规；</w:t>
            </w:r>
          </w:p>
          <w:p w14:paraId="0A4F7A2F">
            <w:pPr>
              <w:spacing w:line="360" w:lineRule="auto"/>
              <w:ind w:firstLine="420" w:firstLineChars="200"/>
              <w:rPr>
                <w:rFonts w:hint="eastAsia" w:ascii="宋体" w:hAnsi="宋体" w:eastAsia="宋体" w:cs="宋体"/>
                <w:b/>
                <w:bCs/>
                <w:color w:val="auto"/>
                <w:szCs w:val="21"/>
                <w:highlight w:val="none"/>
              </w:rPr>
            </w:pPr>
            <w:r>
              <w:rPr>
                <w:rFonts w:hint="eastAsia" w:ascii="宋体" w:hAnsi="宋体" w:eastAsia="宋体" w:cs="宋体"/>
                <w:color w:val="auto"/>
                <w:highlight w:val="none"/>
                <w:lang w:val="en-US" w:eastAsia="zh-CN"/>
              </w:rPr>
              <w:t>三档（9</w:t>
            </w:r>
            <w:r>
              <w:rPr>
                <w:rFonts w:hint="eastAsia" w:ascii="宋体" w:hAnsi="宋体" w:eastAsia="宋体" w:cs="宋体"/>
                <w:color w:val="auto"/>
                <w:highlight w:val="none"/>
              </w:rPr>
              <w:t>分</w:t>
            </w:r>
            <w:r>
              <w:rPr>
                <w:rFonts w:hint="eastAsia" w:ascii="宋体" w:hAnsi="宋体" w:eastAsia="宋体" w:cs="宋体"/>
                <w:color w:val="auto"/>
                <w:highlight w:val="none"/>
                <w:lang w:val="en-US" w:eastAsia="zh-CN"/>
              </w:rPr>
              <w:t>）：制度完善、条款严谨、适配国企保密要求。</w:t>
            </w:r>
          </w:p>
        </w:tc>
        <w:tc>
          <w:tcPr>
            <w:tcW w:w="1137" w:type="dxa"/>
            <w:noWrap w:val="0"/>
            <w:vAlign w:val="center"/>
          </w:tcPr>
          <w:p w14:paraId="65311338">
            <w:pPr>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9</w:t>
            </w:r>
          </w:p>
        </w:tc>
      </w:tr>
      <w:tr w14:paraId="30E3B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33" w:type="dxa"/>
            <w:noWrap w:val="0"/>
            <w:vAlign w:val="center"/>
          </w:tcPr>
          <w:p w14:paraId="6F3FC103">
            <w:pPr>
              <w:adjustRightInd w:val="0"/>
              <w:spacing w:line="360" w:lineRule="auto"/>
              <w:ind w:left="-105" w:leftChars="-50" w:right="-105" w:rightChars="-50"/>
              <w:jc w:val="center"/>
              <w:textAlignment w:val="baseline"/>
              <w:rPr>
                <w:rFonts w:hint="eastAsia" w:ascii="宋体" w:hAnsi="宋体" w:eastAsia="宋体" w:cs="宋体"/>
                <w:bCs/>
                <w:color w:val="auto"/>
                <w:kern w:val="0"/>
                <w:szCs w:val="21"/>
                <w:highlight w:val="none"/>
                <w:lang w:val="en-US" w:eastAsia="zh-CN"/>
              </w:rPr>
            </w:pPr>
            <w:r>
              <w:rPr>
                <w:rFonts w:hint="eastAsia" w:ascii="宋体" w:hAnsi="宋体" w:eastAsia="宋体" w:cs="宋体"/>
                <w:bCs/>
                <w:color w:val="auto"/>
                <w:kern w:val="0"/>
                <w:szCs w:val="21"/>
                <w:highlight w:val="none"/>
                <w:lang w:val="en-US" w:eastAsia="zh-CN"/>
              </w:rPr>
              <w:t>2.5</w:t>
            </w:r>
          </w:p>
        </w:tc>
        <w:tc>
          <w:tcPr>
            <w:tcW w:w="1418" w:type="dxa"/>
            <w:noWrap w:val="0"/>
            <w:vAlign w:val="center"/>
          </w:tcPr>
          <w:p w14:paraId="4EBE2032">
            <w:pPr>
              <w:snapToGri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项目团队配置</w:t>
            </w:r>
          </w:p>
        </w:tc>
        <w:tc>
          <w:tcPr>
            <w:tcW w:w="6002" w:type="dxa"/>
            <w:noWrap w:val="0"/>
            <w:vAlign w:val="center"/>
          </w:tcPr>
          <w:p w14:paraId="0B02C8D6">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1.项目负责人：具备5年及以上金融国企主体评级经验，每满足1人得3分，最高3分。</w:t>
            </w:r>
          </w:p>
          <w:p w14:paraId="1444D6D9">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2.项目核心团队：配备2名及以上持证评级分析师、专职跟进本项目，团队稳定、无兼职混用：4分。</w:t>
            </w:r>
          </w:p>
          <w:p w14:paraId="3BA16719">
            <w:pPr>
              <w:spacing w:line="360" w:lineRule="auto"/>
              <w:ind w:firstLine="420" w:firstLineChars="20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注：附相关证书、简历、从业证明。无证书、无简历、无从业证明不予计分。</w:t>
            </w:r>
          </w:p>
        </w:tc>
        <w:tc>
          <w:tcPr>
            <w:tcW w:w="1137" w:type="dxa"/>
            <w:noWrap w:val="0"/>
            <w:vAlign w:val="center"/>
          </w:tcPr>
          <w:p w14:paraId="2E4B83C2">
            <w:pPr>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7</w:t>
            </w:r>
          </w:p>
        </w:tc>
      </w:tr>
      <w:tr w14:paraId="0924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3" w:type="dxa"/>
            <w:noWrap w:val="0"/>
            <w:vAlign w:val="center"/>
          </w:tcPr>
          <w:p w14:paraId="079FB3DD">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3</w:t>
            </w:r>
          </w:p>
        </w:tc>
        <w:tc>
          <w:tcPr>
            <w:tcW w:w="1418" w:type="dxa"/>
            <w:noWrap w:val="0"/>
            <w:vAlign w:val="center"/>
          </w:tcPr>
          <w:p w14:paraId="29F566B1">
            <w:pPr>
              <w:widowControl/>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商务分</w:t>
            </w:r>
          </w:p>
        </w:tc>
        <w:tc>
          <w:tcPr>
            <w:tcW w:w="6002" w:type="dxa"/>
            <w:noWrap w:val="0"/>
            <w:vAlign w:val="center"/>
          </w:tcPr>
          <w:p w14:paraId="1C052EE1">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评审因素</w:t>
            </w:r>
          </w:p>
        </w:tc>
        <w:tc>
          <w:tcPr>
            <w:tcW w:w="1137" w:type="dxa"/>
            <w:noWrap w:val="0"/>
            <w:vAlign w:val="center"/>
          </w:tcPr>
          <w:p w14:paraId="45C64890">
            <w:pPr>
              <w:widowControl/>
              <w:spacing w:line="360" w:lineRule="auto"/>
              <w:jc w:val="center"/>
              <w:rPr>
                <w:rFonts w:hint="eastAsia" w:ascii="宋体" w:hAnsi="宋体" w:eastAsia="宋体" w:cs="宋体"/>
                <w:b/>
                <w:bCs/>
                <w:color w:val="auto"/>
                <w:kern w:val="0"/>
                <w:szCs w:val="21"/>
                <w:highlight w:val="none"/>
              </w:rPr>
            </w:pPr>
            <w:r>
              <w:rPr>
                <w:rFonts w:hint="eastAsia" w:ascii="宋体" w:hAnsi="宋体" w:eastAsia="宋体" w:cs="宋体"/>
                <w:b/>
                <w:color w:val="auto"/>
                <w:kern w:val="0"/>
                <w:szCs w:val="21"/>
                <w:highlight w:val="none"/>
              </w:rPr>
              <w:t>满分1</w:t>
            </w:r>
            <w:r>
              <w:rPr>
                <w:rFonts w:hint="eastAsia" w:ascii="宋体" w:hAnsi="宋体" w:eastAsia="宋体" w:cs="宋体"/>
                <w:b/>
                <w:color w:val="auto"/>
                <w:kern w:val="0"/>
                <w:szCs w:val="21"/>
                <w:highlight w:val="none"/>
                <w:lang w:val="en-US" w:eastAsia="zh-CN"/>
              </w:rPr>
              <w:t>0</w:t>
            </w:r>
            <w:r>
              <w:rPr>
                <w:rFonts w:hint="eastAsia" w:ascii="宋体" w:hAnsi="宋体" w:eastAsia="宋体" w:cs="宋体"/>
                <w:b/>
                <w:color w:val="auto"/>
                <w:kern w:val="0"/>
                <w:szCs w:val="21"/>
                <w:highlight w:val="none"/>
              </w:rPr>
              <w:t>分</w:t>
            </w:r>
          </w:p>
        </w:tc>
      </w:tr>
      <w:tr w14:paraId="77284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33" w:type="dxa"/>
            <w:noWrap w:val="0"/>
            <w:vAlign w:val="center"/>
          </w:tcPr>
          <w:p w14:paraId="055D4F0F">
            <w:pPr>
              <w:widowControl/>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3.1</w:t>
            </w:r>
          </w:p>
        </w:tc>
        <w:tc>
          <w:tcPr>
            <w:tcW w:w="1418" w:type="dxa"/>
            <w:noWrap w:val="0"/>
            <w:vAlign w:val="center"/>
          </w:tcPr>
          <w:p w14:paraId="53702248">
            <w:pPr>
              <w:widowControl/>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业绩分</w:t>
            </w:r>
          </w:p>
        </w:tc>
        <w:tc>
          <w:tcPr>
            <w:tcW w:w="6002" w:type="dxa"/>
            <w:noWrap w:val="0"/>
            <w:vAlign w:val="top"/>
          </w:tcPr>
          <w:p w14:paraId="5B5EA302">
            <w:pPr>
              <w:spacing w:line="360" w:lineRule="auto"/>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rPr>
              <w:t>近3年</w:t>
            </w:r>
            <w:r>
              <w:rPr>
                <w:rFonts w:hint="eastAsia" w:ascii="宋体" w:hAnsi="宋体" w:eastAsia="宋体" w:cs="宋体"/>
                <w:color w:val="auto"/>
                <w:sz w:val="22"/>
                <w:highlight w:val="none"/>
                <w:lang w:val="en-US" w:eastAsia="zh-CN"/>
              </w:rPr>
              <w:t>来供应商</w:t>
            </w:r>
            <w:r>
              <w:rPr>
                <w:rFonts w:hint="eastAsia" w:ascii="宋体" w:hAnsi="宋体" w:eastAsia="宋体" w:cs="宋体"/>
                <w:color w:val="auto"/>
                <w:sz w:val="22"/>
                <w:highlight w:val="none"/>
              </w:rPr>
              <w:t>具有金融类国企、地方金控集团、国有财务公司、市属重点国企</w:t>
            </w:r>
            <w:r>
              <w:rPr>
                <w:rFonts w:hint="eastAsia" w:ascii="宋体" w:hAnsi="宋体" w:eastAsia="宋体" w:cs="宋体"/>
                <w:b/>
                <w:color w:val="auto"/>
                <w:sz w:val="22"/>
                <w:highlight w:val="none"/>
              </w:rPr>
              <w:t>主体信用评级服务业绩</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lang w:val="en-US" w:eastAsia="zh-CN"/>
              </w:rPr>
              <w:t>每项2分，</w:t>
            </w:r>
            <w:r>
              <w:rPr>
                <w:rFonts w:hint="eastAsia" w:ascii="宋体" w:hAnsi="宋体" w:eastAsia="宋体" w:cs="宋体"/>
                <w:color w:val="auto"/>
                <w:sz w:val="22"/>
                <w:highlight w:val="none"/>
                <w:lang w:val="en-US" w:eastAsia="zh-CN"/>
              </w:rPr>
              <w:t>此项满分10分</w:t>
            </w:r>
          </w:p>
          <w:p w14:paraId="588AFB4A">
            <w:pPr>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lang w:val="en-US" w:eastAsia="zh-CN"/>
              </w:rPr>
              <w:t>注：1.</w:t>
            </w:r>
            <w:r>
              <w:rPr>
                <w:rFonts w:hint="eastAsia" w:ascii="宋体" w:hAnsi="宋体" w:eastAsia="宋体" w:cs="宋体"/>
                <w:color w:val="auto"/>
                <w:sz w:val="22"/>
                <w:highlight w:val="none"/>
              </w:rPr>
              <w:t>提供合同+正式评级报告盖章页；</w:t>
            </w:r>
          </w:p>
          <w:p w14:paraId="6CE43DA0">
            <w:pPr>
              <w:spacing w:line="360" w:lineRule="auto"/>
              <w:rPr>
                <w:rFonts w:hint="eastAsia" w:ascii="宋体" w:hAnsi="宋体" w:eastAsia="宋体" w:cs="宋体"/>
                <w:color w:val="auto"/>
                <w:sz w:val="22"/>
                <w:highlight w:val="none"/>
                <w:lang w:val="en-US" w:eastAsia="zh-CN"/>
              </w:rPr>
            </w:pPr>
            <w:r>
              <w:rPr>
                <w:rFonts w:hint="eastAsia" w:ascii="宋体" w:hAnsi="宋体" w:eastAsia="宋体" w:cs="宋体"/>
                <w:color w:val="auto"/>
                <w:sz w:val="22"/>
                <w:highlight w:val="none"/>
                <w:lang w:val="en-US" w:eastAsia="zh-CN"/>
              </w:rPr>
              <w:t>2.单一项目重复提交不累计；普通民营企业、小微企业业绩不予计分。</w:t>
            </w:r>
          </w:p>
        </w:tc>
        <w:tc>
          <w:tcPr>
            <w:tcW w:w="1137" w:type="dxa"/>
            <w:noWrap w:val="0"/>
            <w:vAlign w:val="center"/>
          </w:tcPr>
          <w:p w14:paraId="145BF984">
            <w:pPr>
              <w:widowControl/>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10</w:t>
            </w:r>
          </w:p>
        </w:tc>
      </w:tr>
      <w:tr w14:paraId="69FE4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7953" w:type="dxa"/>
            <w:gridSpan w:val="3"/>
            <w:noWrap w:val="0"/>
            <w:vAlign w:val="top"/>
          </w:tcPr>
          <w:p w14:paraId="634A898C">
            <w:pPr>
              <w:pStyle w:val="8"/>
              <w:spacing w:line="360" w:lineRule="auto"/>
              <w:ind w:firstLine="420" w:firstLineChars="200"/>
              <w:rPr>
                <w:rFonts w:hint="eastAsia" w:ascii="宋体" w:hAnsi="宋体" w:eastAsia="宋体" w:cs="宋体"/>
                <w:bCs/>
                <w:color w:val="auto"/>
                <w:highlight w:val="none"/>
              </w:rPr>
            </w:pPr>
            <w:r>
              <w:rPr>
                <w:rFonts w:hint="eastAsia" w:ascii="宋体" w:hAnsi="宋体" w:eastAsia="宋体" w:cs="宋体"/>
                <w:bCs/>
                <w:color w:val="auto"/>
                <w:highlight w:val="none"/>
              </w:rPr>
              <w:t>总得分＝1＋2＋3</w:t>
            </w:r>
          </w:p>
        </w:tc>
        <w:tc>
          <w:tcPr>
            <w:tcW w:w="1137" w:type="dxa"/>
            <w:noWrap w:val="0"/>
            <w:vAlign w:val="center"/>
          </w:tcPr>
          <w:p w14:paraId="747CE1F1">
            <w:pPr>
              <w:widowControl/>
              <w:spacing w:line="36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100分</w:t>
            </w:r>
          </w:p>
        </w:tc>
      </w:tr>
    </w:tbl>
    <w:p w14:paraId="4251D3D1">
      <w:pPr>
        <w:pStyle w:val="11"/>
        <w:spacing w:line="360" w:lineRule="auto"/>
        <w:ind w:left="0"/>
        <w:rPr>
          <w:rFonts w:hint="eastAsia" w:ascii="宋体" w:hAnsi="宋体" w:eastAsia="宋体" w:cs="宋体"/>
          <w:b/>
          <w:bCs/>
          <w:color w:val="auto"/>
          <w:szCs w:val="21"/>
          <w:highlight w:val="none"/>
        </w:rPr>
      </w:pPr>
    </w:p>
    <w:p w14:paraId="7FB3ECD2">
      <w:pPr>
        <w:pStyle w:val="11"/>
        <w:spacing w:line="360" w:lineRule="auto"/>
        <w:ind w:left="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三、成交候选供应商推荐原则</w:t>
      </w:r>
    </w:p>
    <w:p w14:paraId="4854E153">
      <w:pPr>
        <w:pStyle w:val="8"/>
        <w:spacing w:line="360" w:lineRule="auto"/>
        <w:ind w:firstLine="421"/>
        <w:rPr>
          <w:rFonts w:hint="eastAsia" w:ascii="宋体" w:hAnsi="宋体" w:eastAsia="宋体" w:cs="宋体"/>
          <w:color w:val="auto"/>
          <w:highlight w:val="none"/>
        </w:rPr>
      </w:pPr>
      <w:r>
        <w:rPr>
          <w:rFonts w:hint="eastAsia" w:ascii="宋体" w:hAnsi="宋体" w:eastAsia="宋体" w:cs="宋体"/>
          <w:color w:val="auto"/>
          <w:highlight w:val="none"/>
        </w:rPr>
        <w:t>磋商小组将根据得分由高到低排列次序（得分相同时，以磋商报价</w:t>
      </w:r>
      <w:r>
        <w:rPr>
          <w:rFonts w:hint="eastAsia" w:ascii="宋体" w:hAnsi="宋体" w:eastAsia="宋体" w:cs="宋体"/>
          <w:b/>
          <w:color w:val="auto"/>
          <w:highlight w:val="none"/>
        </w:rPr>
        <w:t>由低到高</w:t>
      </w:r>
      <w:r>
        <w:rPr>
          <w:rFonts w:hint="eastAsia" w:ascii="宋体" w:hAnsi="宋体" w:eastAsia="宋体" w:cs="宋体"/>
          <w:color w:val="auto"/>
          <w:highlight w:val="none"/>
        </w:rPr>
        <w:t>顺序排列；得分相同且磋商报价相同的，按技术指标优劣顺序排列）并推荐成交候选供应商。采购单位应当确定磋商小组推荐排名第一的成交候选人为成交人。排名第一的成交候选人放弃成交、因不可抗力提出不能履行合同，采购单位可以确定排名第二的成交候选人为成交人。排名第二的成交候选人因前款规定的同样原因不能签订合同的，采购单位可以确定排名第三的成交候选人为成交人，其余以此类推。采购人也可以决定重新采购。对采购过程、成交结果提出的质疑成立后取消成交资格，合格供应商符合法定数量时，可以从合格的成交候选人中另行确定成交供应商的，应当依法另行确定成交供应商；否则应当重新开展采购活动。</w:t>
      </w:r>
    </w:p>
    <w:p w14:paraId="59CF40AA">
      <w:pPr>
        <w:spacing w:line="360" w:lineRule="auto"/>
        <w:rPr>
          <w:rFonts w:hint="eastAsia" w:ascii="宋体" w:hAnsi="宋体" w:eastAsia="宋体" w:cs="宋体"/>
          <w:color w:val="auto"/>
          <w:sz w:val="32"/>
          <w:szCs w:val="40"/>
          <w:highlight w:val="none"/>
        </w:rPr>
      </w:pPr>
      <w:r>
        <w:rPr>
          <w:rFonts w:hint="eastAsia" w:ascii="宋体" w:hAnsi="宋体" w:eastAsia="宋体" w:cs="宋体"/>
          <w:color w:val="auto"/>
          <w:highlight w:val="none"/>
        </w:rPr>
        <w:br w:type="page"/>
      </w:r>
    </w:p>
    <w:p w14:paraId="71CE172A">
      <w:pPr>
        <w:spacing w:line="360" w:lineRule="auto"/>
        <w:rPr>
          <w:rFonts w:hint="eastAsia" w:ascii="宋体" w:hAnsi="宋体" w:eastAsia="宋体" w:cs="宋体"/>
          <w:color w:val="auto"/>
          <w:sz w:val="32"/>
          <w:szCs w:val="40"/>
          <w:highlight w:val="none"/>
        </w:rPr>
      </w:pPr>
    </w:p>
    <w:p w14:paraId="2D291AFD">
      <w:pPr>
        <w:spacing w:line="360" w:lineRule="auto"/>
        <w:rPr>
          <w:rFonts w:hint="eastAsia" w:ascii="宋体" w:hAnsi="宋体" w:eastAsia="宋体" w:cs="宋体"/>
          <w:color w:val="auto"/>
          <w:sz w:val="32"/>
          <w:szCs w:val="40"/>
          <w:highlight w:val="none"/>
        </w:rPr>
      </w:pPr>
    </w:p>
    <w:p w14:paraId="20BDFCB2">
      <w:pPr>
        <w:spacing w:line="360" w:lineRule="auto"/>
        <w:rPr>
          <w:rFonts w:hint="eastAsia" w:ascii="宋体" w:hAnsi="宋体" w:eastAsia="宋体" w:cs="宋体"/>
          <w:color w:val="auto"/>
          <w:sz w:val="32"/>
          <w:szCs w:val="40"/>
          <w:highlight w:val="none"/>
        </w:rPr>
      </w:pPr>
    </w:p>
    <w:p w14:paraId="21F4C26C">
      <w:pPr>
        <w:spacing w:line="360" w:lineRule="auto"/>
        <w:rPr>
          <w:rFonts w:hint="eastAsia" w:ascii="宋体" w:hAnsi="宋体" w:eastAsia="宋体" w:cs="宋体"/>
          <w:color w:val="auto"/>
          <w:sz w:val="32"/>
          <w:szCs w:val="40"/>
          <w:highlight w:val="none"/>
        </w:rPr>
      </w:pPr>
    </w:p>
    <w:p w14:paraId="65272D16">
      <w:pPr>
        <w:widowControl/>
        <w:spacing w:line="360" w:lineRule="auto"/>
        <w:jc w:val="center"/>
        <w:rPr>
          <w:rFonts w:hint="eastAsia" w:ascii="宋体" w:hAnsi="宋体" w:eastAsia="宋体" w:cs="宋体"/>
          <w:color w:val="auto"/>
          <w:highlight w:val="none"/>
        </w:rPr>
      </w:pPr>
    </w:p>
    <w:p w14:paraId="6724EDDB">
      <w:pPr>
        <w:widowControl/>
        <w:spacing w:line="360" w:lineRule="auto"/>
        <w:jc w:val="center"/>
        <w:rPr>
          <w:rFonts w:hint="eastAsia" w:ascii="宋体" w:hAnsi="宋体" w:eastAsia="宋体" w:cs="宋体"/>
          <w:color w:val="auto"/>
          <w:highlight w:val="none"/>
        </w:rPr>
      </w:pPr>
    </w:p>
    <w:p w14:paraId="0EEC2F41">
      <w:pPr>
        <w:pStyle w:val="12"/>
        <w:spacing w:line="360" w:lineRule="auto"/>
        <w:rPr>
          <w:rFonts w:hint="eastAsia" w:ascii="宋体" w:hAnsi="宋体" w:eastAsia="宋体" w:cs="宋体"/>
          <w:color w:val="auto"/>
          <w:kern w:val="0"/>
          <w:sz w:val="44"/>
          <w:szCs w:val="44"/>
          <w:highlight w:val="none"/>
        </w:rPr>
      </w:pPr>
      <w:bookmarkStart w:id="95" w:name="_Toc19257"/>
      <w:bookmarkStart w:id="96" w:name="_Toc5953"/>
      <w:r>
        <w:rPr>
          <w:rFonts w:hint="eastAsia" w:ascii="宋体" w:hAnsi="宋体" w:eastAsia="宋体" w:cs="宋体"/>
          <w:color w:val="auto"/>
          <w:kern w:val="0"/>
          <w:sz w:val="44"/>
          <w:szCs w:val="44"/>
          <w:highlight w:val="none"/>
        </w:rPr>
        <w:t>第七章</w:t>
      </w:r>
      <w:r>
        <w:rPr>
          <w:rFonts w:hint="eastAsia" w:ascii="宋体" w:hAnsi="宋体" w:eastAsia="宋体" w:cs="宋体"/>
          <w:color w:val="auto"/>
          <w:kern w:val="0"/>
          <w:sz w:val="44"/>
          <w:szCs w:val="44"/>
          <w:highlight w:val="none"/>
          <w:lang w:val="en-US" w:eastAsia="zh-CN"/>
        </w:rPr>
        <w:t xml:space="preserve"> </w:t>
      </w:r>
      <w:r>
        <w:rPr>
          <w:rFonts w:hint="eastAsia" w:ascii="宋体" w:hAnsi="宋体" w:eastAsia="宋体" w:cs="宋体"/>
          <w:color w:val="auto"/>
          <w:kern w:val="0"/>
          <w:sz w:val="44"/>
          <w:szCs w:val="44"/>
          <w:highlight w:val="none"/>
        </w:rPr>
        <w:t xml:space="preserve"> 质疑、投诉材料格式</w:t>
      </w:r>
      <w:bookmarkEnd w:id="95"/>
      <w:bookmarkEnd w:id="96"/>
    </w:p>
    <w:p w14:paraId="5D98E46B">
      <w:pPr>
        <w:spacing w:line="360" w:lineRule="auto"/>
        <w:rPr>
          <w:rFonts w:hint="eastAsia" w:ascii="宋体" w:hAnsi="宋体" w:eastAsia="宋体" w:cs="宋体"/>
          <w:b/>
          <w:bCs/>
          <w:color w:val="auto"/>
          <w:kern w:val="44"/>
          <w:sz w:val="44"/>
          <w:szCs w:val="44"/>
          <w:highlight w:val="none"/>
          <w:lang w:bidi="ar"/>
        </w:rPr>
        <w:sectPr>
          <w:footerReference r:id="rId5" w:type="default"/>
          <w:pgSz w:w="11910" w:h="16840"/>
          <w:pgMar w:top="1338" w:right="1440" w:bottom="1338" w:left="1440" w:header="720" w:footer="720" w:gutter="0"/>
          <w:pgNumType w:fmt="decimal"/>
          <w:cols w:space="720" w:num="1"/>
          <w:docGrid w:type="lines" w:linePitch="312" w:charSpace="0"/>
        </w:sectPr>
      </w:pPr>
    </w:p>
    <w:p w14:paraId="69C97D57">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bidi="ar"/>
        </w:rPr>
        <w:t>质疑函（格式）</w:t>
      </w:r>
    </w:p>
    <w:p w14:paraId="5118EE37">
      <w:pPr>
        <w:pStyle w:val="8"/>
        <w:widowControl/>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4F611BF8">
      <w:pPr>
        <w:pStyle w:val="8"/>
        <w:widowControl/>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质疑供应商：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309DFBF2">
      <w:pPr>
        <w:pStyle w:val="8"/>
        <w:widowControl/>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0147ED19">
      <w:pPr>
        <w:pStyle w:val="8"/>
        <w:widowControl/>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26D6601A">
      <w:pPr>
        <w:pStyle w:val="8"/>
        <w:widowControl/>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p>
    <w:p w14:paraId="0C56B517">
      <w:pPr>
        <w:pStyle w:val="8"/>
        <w:widowControl/>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37AD46D8">
      <w:pPr>
        <w:pStyle w:val="8"/>
        <w:widowControl/>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F913AF0">
      <w:pPr>
        <w:pStyle w:val="8"/>
        <w:widowControl/>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1F9D2138">
      <w:pPr>
        <w:pStyle w:val="8"/>
        <w:widowControl/>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0F122EA7">
      <w:pPr>
        <w:pStyle w:val="8"/>
        <w:widowControl/>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质疑</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3A6543E3">
      <w:pPr>
        <w:pStyle w:val="8"/>
        <w:widowControl/>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13E82FE9">
      <w:pPr>
        <w:pStyle w:val="8"/>
        <w:widowControl/>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w:t>
      </w:r>
    </w:p>
    <w:p w14:paraId="11CABB8F">
      <w:pPr>
        <w:pStyle w:val="8"/>
        <w:widowControl/>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   采购文件获取日期：</w:t>
      </w:r>
      <w:r>
        <w:rPr>
          <w:rFonts w:hint="eastAsia" w:ascii="宋体" w:hAnsi="宋体" w:eastAsia="宋体" w:cs="宋体"/>
          <w:bCs/>
          <w:color w:val="auto"/>
          <w:sz w:val="24"/>
          <w:szCs w:val="24"/>
          <w:highlight w:val="none"/>
          <w:u w:val="single"/>
        </w:rPr>
        <w:t xml:space="preserve">                                   </w:t>
      </w:r>
    </w:p>
    <w:p w14:paraId="36CAE837">
      <w:pPr>
        <w:pStyle w:val="8"/>
        <w:widowControl/>
        <w:spacing w:line="360" w:lineRule="auto"/>
        <w:ind w:left="25" w:leftChars="12" w:firstLine="352" w:firstLineChars="14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□采购过程   </w:t>
      </w:r>
    </w:p>
    <w:p w14:paraId="4550578E">
      <w:pPr>
        <w:pStyle w:val="8"/>
        <w:widowControl/>
        <w:spacing w:line="360" w:lineRule="auto"/>
        <w:ind w:left="25" w:leftChars="12" w:firstLine="352" w:firstLineChars="147"/>
        <w:contextualSpacing/>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□成交结果   </w:t>
      </w:r>
    </w:p>
    <w:p w14:paraId="4AE2C2FF">
      <w:pPr>
        <w:pStyle w:val="8"/>
        <w:widowControl/>
        <w:spacing w:line="360" w:lineRule="auto"/>
        <w:ind w:left="25" w:leftChars="12" w:firstLine="472" w:firstLineChars="196"/>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三、质疑事项具体内容</w:t>
      </w:r>
    </w:p>
    <w:p w14:paraId="15E04950">
      <w:pPr>
        <w:pStyle w:val="8"/>
        <w:widowControl/>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质疑事项1：</w:t>
      </w:r>
      <w:r>
        <w:rPr>
          <w:rFonts w:hint="eastAsia" w:ascii="宋体" w:hAnsi="宋体" w:eastAsia="宋体" w:cs="宋体"/>
          <w:bCs/>
          <w:color w:val="auto"/>
          <w:sz w:val="24"/>
          <w:szCs w:val="24"/>
          <w:highlight w:val="none"/>
          <w:u w:val="single"/>
        </w:rPr>
        <w:t xml:space="preserve">                                                                    </w:t>
      </w:r>
    </w:p>
    <w:p w14:paraId="539EB657">
      <w:pPr>
        <w:pStyle w:val="8"/>
        <w:widowControl/>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r>
        <w:rPr>
          <w:rFonts w:hint="eastAsia" w:ascii="宋体" w:hAnsi="宋体" w:eastAsia="宋体" w:cs="宋体"/>
          <w:bCs/>
          <w:color w:val="auto"/>
          <w:sz w:val="24"/>
          <w:szCs w:val="24"/>
          <w:highlight w:val="none"/>
          <w:u w:val="single"/>
        </w:rPr>
        <w:t xml:space="preserve">                                                                      </w:t>
      </w:r>
    </w:p>
    <w:p w14:paraId="38F8BA47">
      <w:pPr>
        <w:pStyle w:val="8"/>
        <w:widowControl/>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single"/>
        </w:rPr>
        <w:t xml:space="preserve">                                                        </w:t>
      </w:r>
      <w:r>
        <w:rPr>
          <w:rFonts w:hint="eastAsia" w:ascii="宋体" w:hAnsi="宋体" w:eastAsia="宋体" w:cs="宋体"/>
          <w:bCs/>
          <w:color w:val="auto"/>
          <w:sz w:val="24"/>
          <w:szCs w:val="24"/>
          <w:highlight w:val="none"/>
          <w:u w:val="single"/>
        </w:rPr>
        <w:t xml:space="preserve">               </w:t>
      </w:r>
    </w:p>
    <w:p w14:paraId="4C4483A2">
      <w:pPr>
        <w:pStyle w:val="8"/>
        <w:widowControl/>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08DCDA59">
      <w:pPr>
        <w:pStyle w:val="8"/>
        <w:widowControl/>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37D3644A">
      <w:pPr>
        <w:pStyle w:val="8"/>
        <w:widowControl/>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四、与质疑事项相关的质疑请求：</w:t>
      </w:r>
    </w:p>
    <w:p w14:paraId="51397DBC">
      <w:pPr>
        <w:pStyle w:val="8"/>
        <w:widowControl/>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412C6E81">
      <w:pPr>
        <w:pStyle w:val="8"/>
        <w:widowControl/>
        <w:spacing w:line="360" w:lineRule="auto"/>
        <w:ind w:left="25" w:leftChars="12" w:firstLine="352" w:firstLineChars="147"/>
        <w:contextualSpacing/>
        <w:rPr>
          <w:rFonts w:hint="eastAsia" w:ascii="宋体" w:hAnsi="宋体" w:eastAsia="宋体" w:cs="宋体"/>
          <w:color w:val="auto"/>
          <w:sz w:val="24"/>
          <w:szCs w:val="24"/>
          <w:highlight w:val="none"/>
        </w:rPr>
      </w:pPr>
    </w:p>
    <w:p w14:paraId="5701FD87">
      <w:pPr>
        <w:pStyle w:val="8"/>
        <w:widowControl/>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3DAD0791">
      <w:pPr>
        <w:pStyle w:val="8"/>
        <w:widowControl/>
        <w:spacing w:line="360" w:lineRule="auto"/>
        <w:ind w:left="25" w:leftChars="12" w:firstLine="352" w:firstLineChars="147"/>
        <w:contextualSpacing/>
        <w:rPr>
          <w:rFonts w:hint="eastAsia" w:ascii="宋体" w:hAnsi="宋体" w:eastAsia="宋体" w:cs="宋体"/>
          <w:color w:val="auto"/>
          <w:sz w:val="24"/>
          <w:szCs w:val="24"/>
          <w:highlight w:val="none"/>
        </w:rPr>
      </w:pPr>
    </w:p>
    <w:p w14:paraId="5E465E49">
      <w:pPr>
        <w:pStyle w:val="8"/>
        <w:widowControl/>
        <w:spacing w:line="360" w:lineRule="auto"/>
        <w:ind w:left="25" w:leftChars="12" w:firstLine="472" w:firstLineChars="197"/>
        <w:contextualSpacing/>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774A8527">
      <w:pPr>
        <w:pStyle w:val="8"/>
        <w:widowControl/>
        <w:spacing w:line="360" w:lineRule="auto"/>
        <w:rPr>
          <w:rFonts w:hint="eastAsia" w:ascii="宋体" w:hAnsi="宋体" w:eastAsia="宋体" w:cs="宋体"/>
          <w:b/>
          <w:color w:val="auto"/>
          <w:sz w:val="24"/>
          <w:szCs w:val="24"/>
          <w:highlight w:val="none"/>
        </w:rPr>
      </w:pPr>
    </w:p>
    <w:p w14:paraId="1342143A">
      <w:pPr>
        <w:pStyle w:val="8"/>
        <w:widowControl/>
        <w:spacing w:line="360" w:lineRule="auto"/>
        <w:rPr>
          <w:rFonts w:hint="eastAsia" w:ascii="宋体" w:hAnsi="宋体" w:eastAsia="宋体" w:cs="宋体"/>
          <w:b/>
          <w:color w:val="auto"/>
          <w:sz w:val="24"/>
          <w:szCs w:val="24"/>
          <w:highlight w:val="none"/>
        </w:rPr>
      </w:pPr>
    </w:p>
    <w:p w14:paraId="08AF355A">
      <w:pPr>
        <w:pStyle w:val="8"/>
        <w:widowControl/>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13598D72">
      <w:pPr>
        <w:pStyle w:val="8"/>
        <w:widowControl/>
        <w:spacing w:line="360" w:lineRule="auto"/>
        <w:ind w:left="25" w:leftChars="12" w:firstLine="354" w:firstLineChars="147"/>
        <w:contextualSpacing/>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1.供应商提出质疑时，应提交质疑函和必要的证明材料</w:t>
      </w:r>
      <w:r>
        <w:rPr>
          <w:rFonts w:hint="eastAsia" w:ascii="宋体" w:hAnsi="宋体" w:eastAsia="宋体" w:cs="宋体"/>
          <w:b/>
          <w:bCs/>
          <w:color w:val="auto"/>
          <w:sz w:val="24"/>
          <w:szCs w:val="24"/>
          <w:highlight w:val="none"/>
        </w:rPr>
        <w:t>。</w:t>
      </w:r>
    </w:p>
    <w:p w14:paraId="239AE7D2">
      <w:pPr>
        <w:pStyle w:val="8"/>
        <w:widowControl/>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ABBE22F">
      <w:pPr>
        <w:pStyle w:val="8"/>
        <w:widowControl/>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3.质疑函的质疑事项应具体、明确，并有必要的事实依据和法律依据。</w:t>
      </w:r>
    </w:p>
    <w:p w14:paraId="3E840A48">
      <w:pPr>
        <w:pStyle w:val="8"/>
        <w:widowControl/>
        <w:spacing w:line="360" w:lineRule="auto"/>
        <w:ind w:left="25" w:leftChars="12" w:firstLine="354" w:firstLineChars="147"/>
        <w:contextualSpacing/>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4.质疑函的质疑请求应与质疑事项相关。</w:t>
      </w:r>
    </w:p>
    <w:p w14:paraId="1DEE3021">
      <w:pPr>
        <w:pStyle w:val="8"/>
        <w:widowControl/>
        <w:spacing w:line="360" w:lineRule="auto"/>
        <w:ind w:left="25" w:leftChars="12" w:firstLine="354" w:firstLineChars="147"/>
        <w:contextualSpacing/>
        <w:rPr>
          <w:rFonts w:hint="eastAsia" w:ascii="宋体" w:hAnsi="宋体" w:eastAsia="宋体" w:cs="宋体"/>
          <w:b/>
          <w:color w:val="auto"/>
          <w:highlight w:val="none"/>
        </w:rPr>
      </w:pPr>
      <w:r>
        <w:rPr>
          <w:rFonts w:hint="eastAsia" w:ascii="宋体" w:hAnsi="宋体" w:eastAsia="宋体" w:cs="宋体"/>
          <w:b/>
          <w:color w:val="auto"/>
          <w:sz w:val="24"/>
          <w:szCs w:val="24"/>
          <w:highlight w:val="none"/>
        </w:rPr>
        <w:t>5.质疑供应商为法人或者其他组织的，质疑函应由法定代表人、主要负责人，或者其授权代表签字或者盖章，并加盖公章。</w:t>
      </w:r>
    </w:p>
    <w:p w14:paraId="73FE5191">
      <w:pPr>
        <w:pStyle w:val="8"/>
        <w:widowControl/>
        <w:snapToGrid w:val="0"/>
        <w:spacing w:line="360" w:lineRule="auto"/>
        <w:rPr>
          <w:rFonts w:hint="eastAsia" w:ascii="宋体" w:hAnsi="宋体" w:eastAsia="宋体" w:cs="宋体"/>
          <w:b/>
          <w:color w:val="auto"/>
          <w:sz w:val="24"/>
          <w:szCs w:val="24"/>
          <w:highlight w:val="none"/>
        </w:rPr>
      </w:pPr>
    </w:p>
    <w:p w14:paraId="18574CA4">
      <w:pPr>
        <w:spacing w:line="360" w:lineRule="auto"/>
        <w:jc w:val="center"/>
        <w:rPr>
          <w:rFonts w:hint="eastAsia" w:ascii="宋体" w:hAnsi="宋体" w:eastAsia="宋体" w:cs="宋体"/>
          <w:color w:val="auto"/>
          <w:sz w:val="44"/>
          <w:highlight w:val="none"/>
        </w:rPr>
      </w:pPr>
      <w:r>
        <w:rPr>
          <w:rFonts w:hint="eastAsia" w:ascii="宋体" w:hAnsi="宋体" w:eastAsia="宋体" w:cs="宋体"/>
          <w:color w:val="auto"/>
          <w:sz w:val="44"/>
          <w:highlight w:val="none"/>
          <w:lang w:bidi="ar"/>
        </w:rPr>
        <w:br w:type="page"/>
      </w:r>
    </w:p>
    <w:p w14:paraId="728960CF">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bidi="ar"/>
        </w:rPr>
        <w:t>投诉书（格式）</w:t>
      </w:r>
    </w:p>
    <w:p w14:paraId="321FBD0B">
      <w:pPr>
        <w:pStyle w:val="8"/>
        <w:widowControl/>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一、投诉相关主体基本情况：</w:t>
      </w:r>
    </w:p>
    <w:p w14:paraId="46C23537">
      <w:pPr>
        <w:pStyle w:val="8"/>
        <w:widowControl/>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供应商：</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3B83C133">
      <w:pPr>
        <w:pStyle w:val="8"/>
        <w:widowControl/>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24A0F005">
      <w:pPr>
        <w:pStyle w:val="8"/>
        <w:widowControl/>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法定代表人/主要负责人：</w:t>
      </w:r>
      <w:r>
        <w:rPr>
          <w:rFonts w:hint="eastAsia" w:ascii="宋体" w:hAnsi="宋体" w:eastAsia="宋体" w:cs="宋体"/>
          <w:bCs/>
          <w:color w:val="auto"/>
          <w:sz w:val="24"/>
          <w:szCs w:val="24"/>
          <w:highlight w:val="none"/>
          <w:u w:val="single"/>
        </w:rPr>
        <w:t xml:space="preserve">                                                         </w:t>
      </w:r>
    </w:p>
    <w:p w14:paraId="29CF5CC4">
      <w:pPr>
        <w:pStyle w:val="8"/>
        <w:widowControl/>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164C032A">
      <w:pPr>
        <w:pStyle w:val="8"/>
        <w:widowControl/>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授权代表：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17601801">
      <w:pPr>
        <w:pStyle w:val="8"/>
        <w:widowControl/>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233CE764">
      <w:pPr>
        <w:pStyle w:val="8"/>
        <w:widowControl/>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1C06B076">
      <w:pPr>
        <w:pStyle w:val="8"/>
        <w:widowControl/>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被投诉人1：</w:t>
      </w:r>
    </w:p>
    <w:p w14:paraId="070D9ED4">
      <w:pPr>
        <w:pStyle w:val="8"/>
        <w:widowControl/>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p>
    <w:p w14:paraId="2334A900">
      <w:pPr>
        <w:pStyle w:val="8"/>
        <w:widowControl/>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70AA0C04">
      <w:pPr>
        <w:pStyle w:val="8"/>
        <w:widowControl/>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p>
    <w:p w14:paraId="58A5D28D">
      <w:pPr>
        <w:pStyle w:val="8"/>
        <w:widowControl/>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被投诉人2：</w:t>
      </w:r>
    </w:p>
    <w:p w14:paraId="32305485">
      <w:pPr>
        <w:pStyle w:val="8"/>
        <w:widowControl/>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6674446E">
      <w:pPr>
        <w:pStyle w:val="8"/>
        <w:widowControl/>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相关供应商：</w:t>
      </w:r>
      <w:r>
        <w:rPr>
          <w:rFonts w:hint="eastAsia" w:ascii="宋体" w:hAnsi="宋体" w:eastAsia="宋体" w:cs="宋体"/>
          <w:bCs/>
          <w:color w:val="auto"/>
          <w:sz w:val="24"/>
          <w:szCs w:val="24"/>
          <w:highlight w:val="none"/>
          <w:u w:val="single"/>
        </w:rPr>
        <w:t xml:space="preserve">                                                                       </w:t>
      </w:r>
    </w:p>
    <w:p w14:paraId="7B49A463">
      <w:pPr>
        <w:pStyle w:val="8"/>
        <w:widowControl/>
        <w:snapToGrid w:val="0"/>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地址：</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邮编：</w:t>
      </w:r>
      <w:r>
        <w:rPr>
          <w:rFonts w:hint="eastAsia" w:ascii="宋体" w:hAnsi="宋体" w:eastAsia="宋体" w:cs="宋体"/>
          <w:bCs/>
          <w:color w:val="auto"/>
          <w:sz w:val="24"/>
          <w:szCs w:val="24"/>
          <w:highlight w:val="none"/>
          <w:u w:val="single"/>
        </w:rPr>
        <w:t xml:space="preserve">                         </w:t>
      </w:r>
    </w:p>
    <w:p w14:paraId="05D8556A">
      <w:pPr>
        <w:pStyle w:val="8"/>
        <w:widowControl/>
        <w:snapToGrid w:val="0"/>
        <w:spacing w:line="36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联系人：</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联系电话：</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w:t>
      </w:r>
    </w:p>
    <w:p w14:paraId="6492C2DE">
      <w:pPr>
        <w:pStyle w:val="8"/>
        <w:widowControl/>
        <w:snapToGrid w:val="0"/>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二、投诉项目基本情况：</w:t>
      </w:r>
    </w:p>
    <w:p w14:paraId="3D074700">
      <w:pPr>
        <w:pStyle w:val="8"/>
        <w:widowControl/>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项目的名称：</w:t>
      </w:r>
      <w:r>
        <w:rPr>
          <w:rFonts w:hint="eastAsia" w:ascii="宋体" w:hAnsi="宋体" w:eastAsia="宋体" w:cs="宋体"/>
          <w:bCs/>
          <w:color w:val="auto"/>
          <w:sz w:val="24"/>
          <w:szCs w:val="24"/>
          <w:highlight w:val="none"/>
          <w:u w:val="single"/>
        </w:rPr>
        <w:t xml:space="preserve">                                </w:t>
      </w:r>
    </w:p>
    <w:p w14:paraId="0536E86B">
      <w:pPr>
        <w:pStyle w:val="8"/>
        <w:widowControl/>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采购</w:t>
      </w:r>
      <w:r>
        <w:rPr>
          <w:rFonts w:hint="eastAsia" w:ascii="宋体" w:hAnsi="宋体" w:eastAsia="宋体" w:cs="宋体"/>
          <w:color w:val="auto"/>
          <w:sz w:val="24"/>
          <w:szCs w:val="24"/>
          <w:highlight w:val="none"/>
        </w:rPr>
        <w:t>项目的编号：</w:t>
      </w:r>
      <w:r>
        <w:rPr>
          <w:rFonts w:hint="eastAsia" w:ascii="宋体" w:hAnsi="宋体" w:eastAsia="宋体" w:cs="宋体"/>
          <w:bCs/>
          <w:color w:val="auto"/>
          <w:sz w:val="24"/>
          <w:szCs w:val="24"/>
          <w:highlight w:val="none"/>
          <w:u w:val="single"/>
        </w:rPr>
        <w:t xml:space="preserve">                               </w:t>
      </w:r>
    </w:p>
    <w:p w14:paraId="5A64A988">
      <w:pPr>
        <w:pStyle w:val="8"/>
        <w:widowControl/>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采购人名称：</w:t>
      </w:r>
      <w:r>
        <w:rPr>
          <w:rFonts w:hint="eastAsia" w:ascii="宋体" w:hAnsi="宋体" w:eastAsia="宋体" w:cs="宋体"/>
          <w:bCs/>
          <w:color w:val="auto"/>
          <w:sz w:val="24"/>
          <w:szCs w:val="24"/>
          <w:highlight w:val="none"/>
          <w:u w:val="single"/>
        </w:rPr>
        <w:t xml:space="preserve">                               </w:t>
      </w:r>
    </w:p>
    <w:p w14:paraId="08EDF890">
      <w:pPr>
        <w:pStyle w:val="8"/>
        <w:widowControl/>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代理机构名称：</w:t>
      </w:r>
      <w:r>
        <w:rPr>
          <w:rFonts w:hint="eastAsia" w:ascii="宋体" w:hAnsi="宋体" w:eastAsia="宋体" w:cs="宋体"/>
          <w:bCs/>
          <w:color w:val="auto"/>
          <w:sz w:val="24"/>
          <w:szCs w:val="24"/>
          <w:highlight w:val="none"/>
          <w:u w:val="single"/>
        </w:rPr>
        <w:t xml:space="preserve">                             </w:t>
      </w:r>
    </w:p>
    <w:p w14:paraId="421D7DD4">
      <w:pPr>
        <w:pStyle w:val="8"/>
        <w:widowControl/>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竞争性磋商公告：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0072FF6D">
      <w:pPr>
        <w:pStyle w:val="8"/>
        <w:widowControl/>
        <w:spacing w:line="360" w:lineRule="auto"/>
        <w:ind w:left="25" w:leftChars="12" w:firstLine="472" w:firstLineChars="197"/>
        <w:rPr>
          <w:rFonts w:hint="eastAsia" w:ascii="宋体" w:hAnsi="宋体" w:eastAsia="宋体" w:cs="宋体"/>
          <w:b/>
          <w:color w:val="auto"/>
          <w:sz w:val="24"/>
          <w:szCs w:val="24"/>
          <w:highlight w:val="none"/>
        </w:rPr>
      </w:pPr>
      <w:r>
        <w:rPr>
          <w:rFonts w:hint="eastAsia" w:ascii="宋体" w:hAnsi="宋体" w:eastAsia="宋体" w:cs="宋体"/>
          <w:bCs/>
          <w:color w:val="auto"/>
          <w:sz w:val="24"/>
          <w:szCs w:val="24"/>
          <w:highlight w:val="none"/>
        </w:rPr>
        <w:t>采购结果公告：</w:t>
      </w:r>
      <w:r>
        <w:rPr>
          <w:rFonts w:hint="eastAsia" w:ascii="宋体" w:hAnsi="宋体" w:eastAsia="宋体" w:cs="宋体"/>
          <w:bCs/>
          <w:color w:val="auto"/>
          <w:sz w:val="24"/>
          <w:szCs w:val="24"/>
          <w:highlight w:val="none"/>
          <w:u w:val="single"/>
        </w:rPr>
        <w:t>是/否</w:t>
      </w:r>
      <w:r>
        <w:rPr>
          <w:rFonts w:hint="eastAsia" w:ascii="宋体" w:hAnsi="宋体" w:eastAsia="宋体" w:cs="宋体"/>
          <w:bCs/>
          <w:color w:val="auto"/>
          <w:sz w:val="24"/>
          <w:szCs w:val="24"/>
          <w:highlight w:val="none"/>
        </w:rPr>
        <w:t>公告期限：</w:t>
      </w:r>
      <w:r>
        <w:rPr>
          <w:rFonts w:hint="eastAsia" w:ascii="宋体" w:hAnsi="宋体" w:eastAsia="宋体" w:cs="宋体"/>
          <w:bCs/>
          <w:color w:val="auto"/>
          <w:sz w:val="24"/>
          <w:szCs w:val="24"/>
          <w:highlight w:val="none"/>
          <w:u w:val="single"/>
        </w:rPr>
        <w:t xml:space="preserve">                                                       </w:t>
      </w:r>
    </w:p>
    <w:p w14:paraId="20DE6C41">
      <w:pPr>
        <w:pStyle w:val="8"/>
        <w:widowControl/>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三、质疑基本情况</w:t>
      </w:r>
    </w:p>
    <w:p w14:paraId="0449D1B0">
      <w:pPr>
        <w:pStyle w:val="8"/>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投诉人于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日，向</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提出质疑，质疑事项为：</w:t>
      </w:r>
    </w:p>
    <w:p w14:paraId="775191A5">
      <w:pPr>
        <w:pStyle w:val="8"/>
        <w:widowControl/>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129DE061">
      <w:pPr>
        <w:pStyle w:val="8"/>
        <w:widowControl/>
        <w:spacing w:line="360" w:lineRule="auto"/>
        <w:ind w:firstLine="241"/>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014CAF65">
      <w:pPr>
        <w:pStyle w:val="8"/>
        <w:widowControl/>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采购人/代理机构</w:t>
      </w:r>
      <w:r>
        <w:rPr>
          <w:rFonts w:hint="eastAsia" w:ascii="宋体" w:hAnsi="宋体" w:eastAsia="宋体" w:cs="宋体"/>
          <w:bCs/>
          <w:color w:val="auto"/>
          <w:sz w:val="24"/>
          <w:szCs w:val="24"/>
          <w:highlight w:val="none"/>
        </w:rPr>
        <w:t>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r>
        <w:rPr>
          <w:rFonts w:hint="eastAsia" w:ascii="宋体" w:hAnsi="宋体" w:eastAsia="宋体" w:cs="宋体"/>
          <w:bCs/>
          <w:color w:val="auto"/>
          <w:sz w:val="24"/>
          <w:szCs w:val="24"/>
          <w:highlight w:val="none"/>
        </w:rPr>
        <w:t xml:space="preserve">就质疑事项作出了答复/没有在法定期限内作出答复。                                                                                             </w:t>
      </w:r>
    </w:p>
    <w:p w14:paraId="18B0341B">
      <w:pPr>
        <w:pStyle w:val="8"/>
        <w:widowControl/>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四、投诉事项具体内容</w:t>
      </w:r>
    </w:p>
    <w:p w14:paraId="778B5B73">
      <w:pPr>
        <w:pStyle w:val="8"/>
        <w:widowControl/>
        <w:spacing w:line="360" w:lineRule="auto"/>
        <w:ind w:left="25" w:leftChars="12" w:firstLine="472" w:firstLineChars="197"/>
        <w:rPr>
          <w:rFonts w:hint="eastAsia" w:ascii="宋体" w:hAnsi="宋体" w:eastAsia="宋体" w:cs="宋体"/>
          <w:bCs/>
          <w:color w:val="auto"/>
          <w:sz w:val="24"/>
          <w:szCs w:val="24"/>
          <w:highlight w:val="none"/>
          <w:u w:val="single"/>
        </w:rPr>
      </w:pPr>
      <w:r>
        <w:rPr>
          <w:rFonts w:hint="eastAsia" w:ascii="宋体" w:hAnsi="宋体" w:eastAsia="宋体" w:cs="宋体"/>
          <w:color w:val="auto"/>
          <w:sz w:val="24"/>
          <w:szCs w:val="24"/>
          <w:highlight w:val="none"/>
        </w:rPr>
        <w:t>投诉事项1：</w:t>
      </w:r>
      <w:r>
        <w:rPr>
          <w:rFonts w:hint="eastAsia" w:ascii="宋体" w:hAnsi="宋体" w:eastAsia="宋体" w:cs="宋体"/>
          <w:bCs/>
          <w:color w:val="auto"/>
          <w:sz w:val="24"/>
          <w:szCs w:val="24"/>
          <w:highlight w:val="none"/>
          <w:u w:val="single"/>
        </w:rPr>
        <w:t xml:space="preserve">                                                                           </w:t>
      </w:r>
    </w:p>
    <w:p w14:paraId="7A421D71">
      <w:pPr>
        <w:pStyle w:val="8"/>
        <w:widowControl/>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事实依据：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297C430C">
      <w:pPr>
        <w:pStyle w:val="8"/>
        <w:widowControl/>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u w:val="single"/>
        </w:rPr>
        <w:t xml:space="preserve">                                                                                        </w:t>
      </w:r>
    </w:p>
    <w:p w14:paraId="527B54DB">
      <w:pPr>
        <w:pStyle w:val="8"/>
        <w:widowControl/>
        <w:spacing w:line="360" w:lineRule="auto"/>
        <w:ind w:firstLine="480" w:firstLineChars="200"/>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法律依据：</w:t>
      </w:r>
      <w:r>
        <w:rPr>
          <w:rFonts w:hint="eastAsia" w:ascii="宋体" w:hAnsi="宋体" w:eastAsia="宋体" w:cs="宋体"/>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1319C24E">
      <w:pPr>
        <w:pStyle w:val="8"/>
        <w:widowControl/>
        <w:spacing w:line="360" w:lineRule="auto"/>
        <w:ind w:left="25" w:leftChars="12" w:firstLine="352" w:firstLineChars="147"/>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 xml:space="preserve"> </w:t>
      </w:r>
      <w:r>
        <w:rPr>
          <w:rFonts w:hint="eastAsia" w:ascii="宋体" w:hAnsi="宋体" w:eastAsia="宋体" w:cs="宋体"/>
          <w:bCs/>
          <w:color w:val="auto"/>
          <w:sz w:val="24"/>
          <w:szCs w:val="24"/>
          <w:highlight w:val="none"/>
          <w:u w:val="single"/>
        </w:rPr>
        <w:t xml:space="preserve">                                                                                        </w:t>
      </w:r>
    </w:p>
    <w:p w14:paraId="5EB6003F">
      <w:pPr>
        <w:pStyle w:val="8"/>
        <w:widowControl/>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 xml:space="preserve">投诉事项2  </w:t>
      </w:r>
      <w:r>
        <w:rPr>
          <w:rFonts w:hint="eastAsia" w:ascii="宋体" w:hAnsi="宋体" w:eastAsia="宋体" w:cs="宋体"/>
          <w:bCs/>
          <w:color w:val="auto"/>
          <w:sz w:val="24"/>
          <w:szCs w:val="24"/>
          <w:highlight w:val="none"/>
        </w:rPr>
        <w:t xml:space="preserve">   </w:t>
      </w:r>
    </w:p>
    <w:p w14:paraId="5ACEB421">
      <w:pPr>
        <w:pStyle w:val="8"/>
        <w:widowControl/>
        <w:spacing w:line="360" w:lineRule="auto"/>
        <w:ind w:left="25" w:leftChars="12" w:firstLine="472" w:firstLineChars="197"/>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p>
    <w:p w14:paraId="7F3F18D1">
      <w:pPr>
        <w:pStyle w:val="8"/>
        <w:widowControl/>
        <w:spacing w:line="360" w:lineRule="auto"/>
        <w:ind w:left="25" w:leftChars="12" w:firstLine="472" w:firstLineChars="196"/>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五、与投诉事项相关的投诉请求：</w:t>
      </w:r>
    </w:p>
    <w:p w14:paraId="392ED190">
      <w:pPr>
        <w:pStyle w:val="8"/>
        <w:widowControl/>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r>
        <w:rPr>
          <w:rFonts w:hint="eastAsia" w:ascii="宋体" w:hAnsi="宋体" w:eastAsia="宋体" w:cs="宋体"/>
          <w:bCs/>
          <w:color w:val="auto"/>
          <w:sz w:val="24"/>
          <w:szCs w:val="24"/>
          <w:highlight w:val="none"/>
          <w:u w:val="single"/>
        </w:rPr>
        <w:t xml:space="preserve">                                                                                 </w:t>
      </w:r>
    </w:p>
    <w:p w14:paraId="4EB3BB47">
      <w:pPr>
        <w:pStyle w:val="8"/>
        <w:widowControl/>
        <w:spacing w:line="360" w:lineRule="auto"/>
        <w:ind w:left="25" w:leftChars="12" w:firstLine="352" w:firstLineChars="147"/>
        <w:rPr>
          <w:rFonts w:hint="eastAsia" w:ascii="宋体" w:hAnsi="宋体" w:eastAsia="宋体" w:cs="宋体"/>
          <w:color w:val="auto"/>
          <w:sz w:val="24"/>
          <w:szCs w:val="24"/>
          <w:highlight w:val="none"/>
        </w:rPr>
      </w:pPr>
    </w:p>
    <w:p w14:paraId="5FFFB1C1">
      <w:pPr>
        <w:pStyle w:val="8"/>
        <w:widowControl/>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签字（签章）：                                       公章：</w:t>
      </w:r>
    </w:p>
    <w:p w14:paraId="4F90AFD5">
      <w:pPr>
        <w:pStyle w:val="8"/>
        <w:widowControl/>
        <w:spacing w:line="360" w:lineRule="auto"/>
        <w:ind w:left="25" w:leftChars="12" w:firstLine="352" w:firstLineChars="147"/>
        <w:rPr>
          <w:rFonts w:hint="eastAsia" w:ascii="宋体" w:hAnsi="宋体" w:eastAsia="宋体" w:cs="宋体"/>
          <w:color w:val="auto"/>
          <w:sz w:val="24"/>
          <w:szCs w:val="24"/>
          <w:highlight w:val="none"/>
        </w:rPr>
      </w:pPr>
    </w:p>
    <w:p w14:paraId="5AE79363">
      <w:pPr>
        <w:pStyle w:val="8"/>
        <w:widowControl/>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p>
    <w:p w14:paraId="1694DCE6">
      <w:pPr>
        <w:pStyle w:val="8"/>
        <w:widowControl/>
        <w:spacing w:line="360" w:lineRule="auto"/>
        <w:ind w:left="25" w:leftChars="12" w:firstLine="472" w:firstLineChars="197"/>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                                                                                 </w:t>
      </w:r>
    </w:p>
    <w:p w14:paraId="1F695096">
      <w:pPr>
        <w:pStyle w:val="8"/>
        <w:widowControl/>
        <w:snapToGrid w:val="0"/>
        <w:spacing w:line="360" w:lineRule="auto"/>
        <w:rPr>
          <w:rFonts w:hint="eastAsia" w:ascii="宋体" w:hAnsi="宋体" w:eastAsia="宋体" w:cs="宋体"/>
          <w:b/>
          <w:color w:val="auto"/>
          <w:sz w:val="24"/>
          <w:szCs w:val="24"/>
          <w:highlight w:val="none"/>
        </w:rPr>
      </w:pPr>
    </w:p>
    <w:p w14:paraId="023DD652">
      <w:pPr>
        <w:pStyle w:val="8"/>
        <w:widowControl/>
        <w:snapToGrid w:val="0"/>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说明：</w:t>
      </w:r>
    </w:p>
    <w:p w14:paraId="6775AD31">
      <w:pPr>
        <w:pStyle w:val="8"/>
        <w:widowControl/>
        <w:spacing w:line="360" w:lineRule="auto"/>
        <w:ind w:left="25" w:leftChars="12" w:firstLine="354" w:firstLineChars="147"/>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4"/>
          <w:szCs w:val="24"/>
          <w:highlight w:val="none"/>
        </w:rPr>
        <w:t>。</w:t>
      </w:r>
    </w:p>
    <w:p w14:paraId="0E42CAB3">
      <w:pPr>
        <w:pStyle w:val="8"/>
        <w:widowControl/>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22B0886">
      <w:pPr>
        <w:pStyle w:val="8"/>
        <w:widowControl/>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3.投诉书应简要列明质疑事项，质疑函、质疑答复等作为附件材料提供。</w:t>
      </w:r>
    </w:p>
    <w:p w14:paraId="5D865D15">
      <w:pPr>
        <w:pStyle w:val="8"/>
        <w:widowControl/>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4.投诉书的投诉事项应具体、明确，并有必要的事实依据和法律依据。</w:t>
      </w:r>
    </w:p>
    <w:p w14:paraId="0BB08C44">
      <w:pPr>
        <w:pStyle w:val="8"/>
        <w:widowControl/>
        <w:spacing w:line="360" w:lineRule="auto"/>
        <w:ind w:left="25" w:leftChars="12" w:firstLine="354" w:firstLineChars="147"/>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5.投诉书的投诉请求应与投诉事项相关。</w:t>
      </w:r>
    </w:p>
    <w:p w14:paraId="61C33A2E">
      <w:pPr>
        <w:pStyle w:val="8"/>
        <w:widowControl/>
        <w:spacing w:line="360" w:lineRule="auto"/>
        <w:ind w:left="25" w:leftChars="12" w:firstLine="354" w:firstLineChars="147"/>
        <w:rPr>
          <w:rFonts w:hint="eastAsia" w:ascii="宋体" w:hAnsi="宋体" w:eastAsia="宋体" w:cs="宋体"/>
          <w:color w:val="auto"/>
          <w:highlight w:val="none"/>
        </w:rPr>
      </w:pPr>
      <w:r>
        <w:rPr>
          <w:rFonts w:hint="eastAsia" w:ascii="宋体" w:hAnsi="宋体" w:eastAsia="宋体" w:cs="宋体"/>
          <w:b/>
          <w:color w:val="auto"/>
          <w:sz w:val="24"/>
          <w:szCs w:val="24"/>
          <w:highlight w:val="none"/>
        </w:rPr>
        <w:t>6.投诉人为法人或者其他组织的，投诉书应由法定代表人、主要负责人，或者其授权代表签字或者盖章，并加盖公章。</w:t>
      </w:r>
    </w:p>
    <w:p w14:paraId="6D6F694C">
      <w:pPr>
        <w:pStyle w:val="8"/>
        <w:spacing w:line="360" w:lineRule="auto"/>
        <w:jc w:val="center"/>
        <w:rPr>
          <w:rFonts w:hint="eastAsia" w:ascii="宋体" w:hAnsi="宋体" w:eastAsia="宋体" w:cs="宋体"/>
          <w:color w:val="auto"/>
          <w:highlight w:val="none"/>
        </w:rPr>
      </w:pPr>
    </w:p>
    <w:p w14:paraId="05CD2937">
      <w:pPr>
        <w:rPr>
          <w:highlight w:val="none"/>
        </w:rPr>
      </w:pPr>
    </w:p>
    <w:sectPr>
      <w:footerReference r:id="rId8" w:type="first"/>
      <w:footerReference r:id="rId6" w:type="default"/>
      <w:footerReference r:id="rId7" w:type="even"/>
      <w:pgSz w:w="11906" w:h="16838"/>
      <w:pgMar w:top="1134" w:right="1134" w:bottom="1134" w:left="113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Noto Sans CJK JP Regular">
    <w:altName w:val="yyb"/>
    <w:panose1 w:val="00000000000000000000"/>
    <w:charset w:val="00"/>
    <w:family w:val="roman"/>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BF13D">
    <w:pPr>
      <w:pStyle w:val="9"/>
      <w:jc w:val="right"/>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F8664B">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2F8664B">
                    <w:pPr>
                      <w:pStyle w:val="9"/>
                    </w:pPr>
                    <w:r>
                      <w:fldChar w:fldCharType="begin"/>
                    </w:r>
                    <w:r>
                      <w:instrText xml:space="preserve"> PAGE  \* MERGEFORMAT </w:instrText>
                    </w:r>
                    <w:r>
                      <w:fldChar w:fldCharType="separate"/>
                    </w:r>
                    <w:r>
                      <w:t>2</w:t>
                    </w:r>
                    <w:r>
                      <w:fldChar w:fldCharType="end"/>
                    </w:r>
                  </w:p>
                </w:txbxContent>
              </v:textbox>
            </v:shape>
          </w:pict>
        </mc:Fallback>
      </mc:AlternateContent>
    </w:r>
  </w:p>
  <w:p w14:paraId="086FC807">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1D861">
    <w:pPr>
      <w:pStyle w:val="9"/>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14:paraId="07E2927C">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2AE49">
    <w:pPr>
      <w:pStyle w:val="9"/>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72FC166">
                          <w:pPr>
                            <w:pStyle w:val="9"/>
                          </w:pPr>
                          <w:r>
                            <w:fldChar w:fldCharType="begin"/>
                          </w:r>
                          <w:r>
                            <w:instrText xml:space="preserve"> PAGE  \* MERGEFORMAT </w:instrText>
                          </w:r>
                          <w:r>
                            <w:fldChar w:fldCharType="separate"/>
                          </w:r>
                          <w:r>
                            <w:t>26</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dcH7/NIBAACjAwAADgAAAAAAAAABACAAAAAi&#10;AQAAZHJzL2Uyb0RvYy54bWxQSwUGAAAAAAYABgBZAQAAZgUAAAAA&#10;">
              <v:fill on="f" focussize="0,0"/>
              <v:stroke on="f" weight="1.25pt"/>
              <v:imagedata o:title=""/>
              <o:lock v:ext="edit" aspectratio="f"/>
              <v:textbox inset="0mm,0mm,0mm,0mm" style="mso-fit-shape-to-text:t;">
                <w:txbxContent>
                  <w:p w14:paraId="072FC166">
                    <w:pPr>
                      <w:pStyle w:val="9"/>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B2A9E">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5588DE6">
                          <w:pPr>
                            <w:pStyle w:val="9"/>
                            <w:rPr>
                              <w:rStyle w:val="15"/>
                            </w:rPr>
                          </w:pPr>
                          <w:r>
                            <w:fldChar w:fldCharType="begin"/>
                          </w:r>
                          <w:r>
                            <w:rPr>
                              <w:rStyle w:val="15"/>
                            </w:rPr>
                            <w:instrText xml:space="preserve">PAGE  </w:instrText>
                          </w:r>
                          <w:r>
                            <w:fldChar w:fldCharType="separate"/>
                          </w:r>
                          <w:r>
                            <w:rPr>
                              <w:rStyle w:val="15"/>
                            </w:rP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CKLKOTSAQAAowMAAA4AAABkcnMvZTJvRG9jLnhtbK1TS27bMBDd&#10;F+gdCO5rKUb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oso5NIBAACjAwAADgAAAAAAAAABACAAAAAi&#10;AQAAZHJzL2Uyb0RvYy54bWxQSwUGAAAAAAYABgBZAQAAZgUAAAAA&#10;">
              <v:fill on="f" focussize="0,0"/>
              <v:stroke on="f" weight="1.25pt"/>
              <v:imagedata o:title=""/>
              <o:lock v:ext="edit" aspectratio="f"/>
              <v:textbox inset="0mm,0mm,0mm,0mm" style="mso-fit-shape-to-text:t;">
                <w:txbxContent>
                  <w:p w14:paraId="05588DE6">
                    <w:pPr>
                      <w:pStyle w:val="9"/>
                      <w:rPr>
                        <w:rStyle w:val="15"/>
                      </w:rPr>
                    </w:pPr>
                    <w:r>
                      <w:fldChar w:fldCharType="begin"/>
                    </w:r>
                    <w:r>
                      <w:rPr>
                        <w:rStyle w:val="15"/>
                      </w:rPr>
                      <w:instrText xml:space="preserve">PAGE  </w:instrText>
                    </w:r>
                    <w:r>
                      <w:fldChar w:fldCharType="separate"/>
                    </w:r>
                    <w:r>
                      <w:rPr>
                        <w:rStyle w:val="15"/>
                      </w:rP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E63DF">
    <w:pPr>
      <w:pStyle w:val="9"/>
      <w:framePr w:wrap="around" w:vAnchor="text" w:hAnchor="margin" w:xAlign="center" w:y="1"/>
      <w:rPr>
        <w:rStyle w:val="15"/>
      </w:rPr>
    </w:pPr>
    <w:r>
      <w:fldChar w:fldCharType="begin"/>
    </w:r>
    <w:r>
      <w:rPr>
        <w:rStyle w:val="15"/>
      </w:rPr>
      <w:instrText xml:space="preserve">PAGE  </w:instrText>
    </w:r>
    <w:r>
      <w:fldChar w:fldCharType="separate"/>
    </w:r>
    <w:r>
      <w:fldChar w:fldCharType="end"/>
    </w:r>
  </w:p>
  <w:p w14:paraId="7A0A221F">
    <w:pPr>
      <w:pStyle w:val="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F669D">
    <w:pPr>
      <w:pStyle w:val="9"/>
      <w:ind w:right="360"/>
      <w:jc w:val="both"/>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CFA6E6F">
                          <w:pPr>
                            <w:pStyle w:val="9"/>
                          </w:pPr>
                          <w:r>
                            <w:fldChar w:fldCharType="begin"/>
                          </w:r>
                          <w:r>
                            <w:instrText xml:space="preserve"> PAGE  \* MERGEFORMAT </w:instrText>
                          </w:r>
                          <w:r>
                            <w:fldChar w:fldCharType="separate"/>
                          </w:r>
                          <w:r>
                            <w:t>44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5CFA6E6F">
                    <w:pPr>
                      <w:pStyle w:val="9"/>
                    </w:pPr>
                    <w:r>
                      <w:fldChar w:fldCharType="begin"/>
                    </w:r>
                    <w:r>
                      <w:instrText xml:space="preserve"> PAGE  \* MERGEFORMAT </w:instrText>
                    </w:r>
                    <w:r>
                      <w:fldChar w:fldCharType="separate"/>
                    </w:r>
                    <w:r>
                      <w:t>44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FD31870"/>
    <w:multiLevelType w:val="multilevel"/>
    <w:tmpl w:val="4FD31870"/>
    <w:lvl w:ilvl="0" w:tentative="0">
      <w:start w:val="1"/>
      <w:numFmt w:val="decimal"/>
      <w:lvlText w:val="%1"/>
      <w:lvlJc w:val="right"/>
      <w:pPr>
        <w:ind w:left="416" w:hanging="132"/>
      </w:pPr>
      <w:rPr>
        <w:rFonts w:hint="eastAsia" w:ascii="宋体" w:hAnsi="宋体" w:eastAsia="宋体"/>
        <w:b w:val="0"/>
        <w:i w:val="0"/>
        <w:sz w:val="21"/>
      </w:rPr>
    </w:lvl>
    <w:lvl w:ilvl="1" w:tentative="0">
      <w:start w:val="1"/>
      <w:numFmt w:val="lowerLetter"/>
      <w:lvlText w:val="%2)"/>
      <w:lvlJc w:val="left"/>
      <w:pPr>
        <w:ind w:left="836" w:hanging="420"/>
      </w:pPr>
    </w:lvl>
    <w:lvl w:ilvl="2" w:tentative="0">
      <w:start w:val="1"/>
      <w:numFmt w:val="lowerRoman"/>
      <w:lvlText w:val="%3."/>
      <w:lvlJc w:val="right"/>
      <w:pPr>
        <w:ind w:left="1256" w:hanging="420"/>
      </w:pPr>
    </w:lvl>
    <w:lvl w:ilvl="3" w:tentative="0">
      <w:start w:val="1"/>
      <w:numFmt w:val="decimal"/>
      <w:lvlText w:val="%4."/>
      <w:lvlJc w:val="left"/>
      <w:pPr>
        <w:ind w:left="1676" w:hanging="420"/>
      </w:pPr>
    </w:lvl>
    <w:lvl w:ilvl="4" w:tentative="0">
      <w:start w:val="1"/>
      <w:numFmt w:val="lowerLetter"/>
      <w:lvlText w:val="%5)"/>
      <w:lvlJc w:val="left"/>
      <w:pPr>
        <w:ind w:left="2096" w:hanging="420"/>
      </w:pPr>
    </w:lvl>
    <w:lvl w:ilvl="5" w:tentative="0">
      <w:start w:val="1"/>
      <w:numFmt w:val="lowerRoman"/>
      <w:lvlText w:val="%6."/>
      <w:lvlJc w:val="right"/>
      <w:pPr>
        <w:ind w:left="2516" w:hanging="420"/>
      </w:pPr>
    </w:lvl>
    <w:lvl w:ilvl="6" w:tentative="0">
      <w:start w:val="1"/>
      <w:numFmt w:val="decimal"/>
      <w:lvlText w:val="%7."/>
      <w:lvlJc w:val="left"/>
      <w:pPr>
        <w:ind w:left="2936" w:hanging="420"/>
      </w:pPr>
    </w:lvl>
    <w:lvl w:ilvl="7" w:tentative="0">
      <w:start w:val="1"/>
      <w:numFmt w:val="lowerLetter"/>
      <w:lvlText w:val="%8)"/>
      <w:lvlJc w:val="left"/>
      <w:pPr>
        <w:ind w:left="3356" w:hanging="420"/>
      </w:pPr>
    </w:lvl>
    <w:lvl w:ilvl="8" w:tentative="0">
      <w:start w:val="1"/>
      <w:numFmt w:val="lowerRoman"/>
      <w:lvlText w:val="%9."/>
      <w:lvlJc w:val="right"/>
      <w:pPr>
        <w:ind w:left="3776" w:hanging="420"/>
      </w:pPr>
    </w:lvl>
  </w:abstractNum>
  <w:abstractNum w:abstractNumId="1">
    <w:nsid w:val="6DBB7BEA"/>
    <w:multiLevelType w:val="multilevel"/>
    <w:tmpl w:val="6DBB7BEA"/>
    <w:lvl w:ilvl="0" w:tentative="0">
      <w:start w:val="1"/>
      <w:numFmt w:val="decimal"/>
      <w:suff w:val="nothing"/>
      <w:lvlText w:val="%1"/>
      <w:lvlJc w:val="center"/>
      <w:pPr>
        <w:ind w:left="0" w:firstLine="0"/>
      </w:pPr>
      <w:rPr>
        <w:rFonts w:hint="eastAsia"/>
        <w:b w:val="0"/>
        <w:i w:val="0"/>
        <w:snapToGrid w:val="0"/>
        <w:kern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C65EC1"/>
    <w:rsid w:val="04275653"/>
    <w:rsid w:val="12296A3A"/>
    <w:rsid w:val="22F02621"/>
    <w:rsid w:val="2703216C"/>
    <w:rsid w:val="27C36FE1"/>
    <w:rsid w:val="33C65EC1"/>
    <w:rsid w:val="493A36B0"/>
    <w:rsid w:val="6A5011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4"/>
    <w:basedOn w:val="1"/>
    <w:next w:val="1"/>
    <w:qFormat/>
    <w:uiPriority w:val="0"/>
    <w:pPr>
      <w:keepNext/>
      <w:keepLines/>
      <w:adjustRightInd w:val="0"/>
      <w:snapToGrid w:val="0"/>
      <w:spacing w:before="120" w:after="120"/>
      <w:outlineLvl w:val="3"/>
    </w:pPr>
    <w:rPr>
      <w:rFonts w:ascii="Arial" w:hAnsi="Arial"/>
      <w:b/>
      <w:bCs/>
      <w:sz w:val="28"/>
      <w:szCs w:val="28"/>
    </w:rPr>
  </w:style>
  <w:style w:type="character" w:default="1" w:styleId="14">
    <w:name w:val="Default Paragraph Font"/>
    <w:semiHidden/>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keepNext w:val="0"/>
      <w:keepLines w:val="0"/>
      <w:widowControl w:val="0"/>
      <w:suppressLineNumbers w:val="0"/>
      <w:spacing w:before="0" w:beforeAutospacing="0" w:after="0" w:afterAutospacing="0"/>
      <w:ind w:left="0" w:right="0"/>
      <w:jc w:val="left"/>
    </w:pPr>
  </w:style>
  <w:style w:type="paragraph" w:styleId="4">
    <w:name w:val="Body Text"/>
    <w:basedOn w:val="1"/>
    <w:qFormat/>
    <w:uiPriority w:val="0"/>
    <w:pPr>
      <w:spacing w:line="380" w:lineRule="exact"/>
    </w:pPr>
    <w:rPr>
      <w:sz w:val="24"/>
    </w:rPr>
  </w:style>
  <w:style w:type="paragraph" w:styleId="5">
    <w:name w:val="Body Text Indent"/>
    <w:basedOn w:val="1"/>
    <w:next w:val="6"/>
    <w:qFormat/>
    <w:uiPriority w:val="0"/>
    <w:pPr>
      <w:ind w:firstLine="830" w:firstLineChars="352"/>
    </w:pPr>
    <w:rPr>
      <w:rFonts w:ascii="仿宋_GB2312" w:eastAsia="仿宋_GB2312"/>
      <w:sz w:val="32"/>
      <w:szCs w:val="20"/>
    </w:rPr>
  </w:style>
  <w:style w:type="paragraph" w:styleId="6">
    <w:name w:val="Body Text First Indent 2"/>
    <w:basedOn w:val="5"/>
    <w:unhideWhenUsed/>
    <w:qFormat/>
    <w:uiPriority w:val="99"/>
    <w:pPr>
      <w:ind w:firstLine="420" w:firstLineChars="200"/>
    </w:pPr>
  </w:style>
  <w:style w:type="paragraph" w:styleId="7">
    <w:name w:val="List 2"/>
    <w:basedOn w:val="1"/>
    <w:qFormat/>
    <w:uiPriority w:val="0"/>
    <w:pPr>
      <w:ind w:left="100" w:leftChars="200" w:hanging="200" w:hangingChars="200"/>
    </w:pPr>
    <w:rPr>
      <w:sz w:val="28"/>
    </w:rPr>
  </w:style>
  <w:style w:type="paragraph" w:styleId="8">
    <w:name w:val="Plain Text"/>
    <w:basedOn w:val="1"/>
    <w:next w:val="2"/>
    <w:qFormat/>
    <w:uiPriority w:val="99"/>
    <w:rPr>
      <w:rFonts w:ascii="宋体" w:hAnsi="Courier New" w:cs="Courier New"/>
      <w:szCs w:val="21"/>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toc 1"/>
    <w:basedOn w:val="1"/>
    <w:next w:val="1"/>
    <w:qFormat/>
    <w:uiPriority w:val="39"/>
  </w:style>
  <w:style w:type="paragraph" w:styleId="11">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12">
    <w:name w:val="Title"/>
    <w:basedOn w:val="1"/>
    <w:next w:val="5"/>
    <w:qFormat/>
    <w:uiPriority w:val="0"/>
    <w:pPr>
      <w:spacing w:before="240" w:beforeLines="0" w:after="60" w:afterLines="0"/>
      <w:jc w:val="center"/>
      <w:outlineLvl w:val="0"/>
    </w:pPr>
    <w:rPr>
      <w:rFonts w:ascii="Cambria" w:hAnsi="Cambria"/>
      <w:b/>
      <w:bCs/>
      <w:sz w:val="32"/>
      <w:szCs w:val="32"/>
    </w:rPr>
  </w:style>
  <w:style w:type="character" w:styleId="15">
    <w:name w:val="page number"/>
    <w:qFormat/>
    <w:uiPriority w:val="0"/>
    <w:rPr>
      <w:rFonts w:ascii="Times New Roman" w:hAnsi="Times New Roman" w:eastAsia="宋体" w:cs="Times New Roman"/>
    </w:rPr>
  </w:style>
  <w:style w:type="paragraph" w:customStyle="1" w:styleId="16">
    <w:name w:val="1"/>
    <w:basedOn w:val="1"/>
    <w:next w:val="8"/>
    <w:qFormat/>
    <w:uiPriority w:val="0"/>
    <w:rPr>
      <w:rFonts w:ascii="宋体" w:hAnsi="Courier New"/>
      <w:szCs w:val="20"/>
    </w:rPr>
  </w:style>
  <w:style w:type="paragraph" w:customStyle="1" w:styleId="17">
    <w:name w:val="默认段落字体 Para Char Char Char Char Char Char Char Char Char1 Char Char Char Char"/>
    <w:basedOn w:val="1"/>
    <w:qFormat/>
    <w:uiPriority w:val="0"/>
    <w:rPr>
      <w:rFonts w:ascii="Tahoma" w:hAnsi="Tahoma"/>
      <w:sz w:val="24"/>
      <w:szCs w:val="20"/>
    </w:rPr>
  </w:style>
  <w:style w:type="paragraph" w:customStyle="1" w:styleId="18">
    <w:name w:val="ql-lineheight-200"/>
    <w:basedOn w:val="1"/>
    <w:qFormat/>
    <w:uiPriority w:val="0"/>
    <w:pPr>
      <w:spacing w:before="100" w:beforeAutospacing="1" w:after="100" w:afterAutospacing="1"/>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24762</Words>
  <Characters>25586</Characters>
  <Lines>0</Lines>
  <Paragraphs>0</Paragraphs>
  <TotalTime>6</TotalTime>
  <ScaleCrop>false</ScaleCrop>
  <LinksUpToDate>false</LinksUpToDate>
  <CharactersWithSpaces>30086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2026-07-06T02:10:00Z</dcterms:created>
  <dc:creator>T-etc</dc:creator>
  <cp:lastModifiedBy>sheo</cp:lastModifiedBy>
  <dcterms:modified xsi:type="dcterms:W3CDTF">2026-07-06T02:43:41Z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F6D8425655984413BE5146D17EF1CE0D_11</vt:lpwstr>
  </property>
  <property fmtid="{D5CDD505-2E9C-101B-9397-08002B2CF9AE}" pid="4" name="KSOTemplateDocerSaveRecord">
    <vt:lpwstr>eyJoZGlkIjoiNmRiZmJlZWFiYmQ0ZDJlNTk0ZWQ2YzQ5NzMwMjYxOGQiLCJ1c2VySWQiOiIxMjUxNzE0MjIwIn0=</vt:lpwstr>
  </property>
</Properties>
</file>